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99AAE">
      <w:pPr>
        <w:pStyle w:val="2"/>
        <w:ind w:left="0" w:leftChars="0" w:firstLine="0" w:firstLineChars="0"/>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sz w:val="44"/>
          <w:szCs w:val="44"/>
          <w:lang w:val="en-US" w:eastAsia="zh-CN"/>
        </w:rPr>
        <w:t>黑龙江省住房和城乡建设领域行政处罚裁量基准</w:t>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141"/>
        <w:gridCol w:w="1662"/>
        <w:gridCol w:w="1155"/>
        <w:gridCol w:w="5466"/>
        <w:gridCol w:w="1140"/>
        <w:gridCol w:w="913"/>
        <w:gridCol w:w="1088"/>
      </w:tblGrid>
      <w:tr w14:paraId="5CDE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vAlign w:val="center"/>
          </w:tcPr>
          <w:p w14:paraId="50078330">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序号</w:t>
            </w:r>
          </w:p>
        </w:tc>
        <w:tc>
          <w:tcPr>
            <w:tcW w:w="1141" w:type="dxa"/>
            <w:vAlign w:val="center"/>
          </w:tcPr>
          <w:p w14:paraId="15DB8D8B">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违法行为</w:t>
            </w:r>
          </w:p>
        </w:tc>
        <w:tc>
          <w:tcPr>
            <w:tcW w:w="1662" w:type="dxa"/>
            <w:vAlign w:val="center"/>
          </w:tcPr>
          <w:p w14:paraId="7427ED9A">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法定依据</w:t>
            </w:r>
          </w:p>
        </w:tc>
        <w:tc>
          <w:tcPr>
            <w:tcW w:w="1155" w:type="dxa"/>
            <w:vAlign w:val="center"/>
          </w:tcPr>
          <w:p w14:paraId="1B314F74">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裁量阶次</w:t>
            </w:r>
          </w:p>
        </w:tc>
        <w:tc>
          <w:tcPr>
            <w:tcW w:w="5466" w:type="dxa"/>
            <w:vAlign w:val="center"/>
          </w:tcPr>
          <w:p w14:paraId="1F14D265">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适用条件</w:t>
            </w:r>
          </w:p>
        </w:tc>
        <w:tc>
          <w:tcPr>
            <w:tcW w:w="1140" w:type="dxa"/>
            <w:vAlign w:val="center"/>
          </w:tcPr>
          <w:p w14:paraId="261314B2">
            <w:pPr>
              <w:jc w:val="both"/>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具体标准</w:t>
            </w:r>
          </w:p>
        </w:tc>
        <w:tc>
          <w:tcPr>
            <w:tcW w:w="913" w:type="dxa"/>
            <w:vAlign w:val="center"/>
          </w:tcPr>
          <w:p w14:paraId="1111BC24">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b/>
                <w:bCs/>
                <w:sz w:val="21"/>
                <w:szCs w:val="21"/>
                <w:highlight w:val="none"/>
                <w:vertAlign w:val="baseline"/>
                <w:lang w:val="en-US" w:eastAsia="zh-CN"/>
              </w:rPr>
              <w:t>备注</w:t>
            </w:r>
          </w:p>
        </w:tc>
        <w:tc>
          <w:tcPr>
            <w:tcW w:w="1088" w:type="dxa"/>
            <w:vAlign w:val="center"/>
          </w:tcPr>
          <w:p w14:paraId="0DE85C71">
            <w:pPr>
              <w:jc w:val="center"/>
              <w:rPr>
                <w:rFonts w:hint="eastAsia" w:ascii="黑体" w:hAnsi="黑体" w:eastAsia="黑体" w:cs="黑体"/>
                <w:b/>
                <w:bCs/>
                <w:sz w:val="21"/>
                <w:szCs w:val="21"/>
                <w:highlight w:val="none"/>
                <w:vertAlign w:val="baseline"/>
                <w:lang w:val="en-US" w:eastAsia="zh-CN"/>
              </w:rPr>
            </w:pPr>
            <w:r>
              <w:rPr>
                <w:rFonts w:hint="eastAsia" w:ascii="黑体" w:hAnsi="黑体" w:eastAsia="黑体" w:cs="黑体"/>
                <w:color w:val="000000" w:themeColor="text1"/>
                <w:sz w:val="21"/>
                <w:szCs w:val="21"/>
                <w:highlight w:val="none"/>
                <w:vertAlign w:val="baseline"/>
                <w:lang w:val="en-US" w:eastAsia="zh-CN"/>
                <w14:textFill>
                  <w14:solidFill>
                    <w14:schemeClr w14:val="tx1"/>
                  </w14:solidFill>
                </w14:textFill>
              </w:rPr>
              <w:t>建议实施处罚层级</w:t>
            </w:r>
          </w:p>
        </w:tc>
      </w:tr>
      <w:tr w14:paraId="14AB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71D8F6A9">
            <w:pPr>
              <w:jc w:val="left"/>
              <w:rPr>
                <w:rFonts w:hint="default" w:ascii="仿宋_GB2312" w:hAnsi="仿宋_GB2312" w:eastAsia="仿宋_GB2312" w:cs="仿宋_GB2312"/>
                <w:b/>
                <w:bCs/>
                <w:sz w:val="21"/>
                <w:szCs w:val="21"/>
                <w:highlight w:val="none"/>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08FB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51" w:type="dxa"/>
            <w:vMerge w:val="restart"/>
          </w:tcPr>
          <w:p w14:paraId="6213C865">
            <w:pPr>
              <w:rPr>
                <w:rFonts w:hint="default" w:ascii="仿宋_GB2312" w:hAnsi="仿宋_GB2312" w:eastAsia="仿宋_GB2312" w:cs="仿宋_GB2312"/>
                <w:b/>
                <w:bCs/>
                <w:sz w:val="21"/>
                <w:szCs w:val="21"/>
                <w:highlight w:val="none"/>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2403001</w:t>
            </w:r>
          </w:p>
        </w:tc>
        <w:tc>
          <w:tcPr>
            <w:tcW w:w="1141" w:type="dxa"/>
            <w:vMerge w:val="restart"/>
          </w:tcPr>
          <w:p w14:paraId="2D30C25F">
            <w:pPr>
              <w:rPr>
                <w:rFonts w:hint="eastAsia" w:ascii="仿宋_GB2312" w:hAnsi="仿宋_GB2312" w:cs="仿宋_GB2312" w:eastAsiaTheme="minorEastAsia"/>
                <w:b/>
                <w:bCs/>
                <w:sz w:val="21"/>
                <w:szCs w:val="21"/>
                <w:highlight w:val="none"/>
                <w:vertAlign w:val="baseline"/>
                <w:lang w:val="en-US" w:eastAsia="zh-CN"/>
              </w:rPr>
            </w:pPr>
            <w:r>
              <w:rPr>
                <w:rFonts w:hint="eastAsia" w:ascii="宋体" w:cs="宋体"/>
                <w:kern w:val="0"/>
                <w:sz w:val="18"/>
                <w:szCs w:val="18"/>
                <w:highlight w:val="none"/>
              </w:rPr>
              <w:t>依法应当进行消防设计审查的建设工程，未经依法审查或者审查不合格，擅自施工</w:t>
            </w:r>
            <w:r>
              <w:rPr>
                <w:rFonts w:hint="eastAsia" w:ascii="宋体" w:cs="宋体"/>
                <w:kern w:val="0"/>
                <w:sz w:val="18"/>
                <w:szCs w:val="18"/>
                <w:highlight w:val="none"/>
                <w:lang w:eastAsia="zh-CN"/>
              </w:rPr>
              <w:t>的</w:t>
            </w:r>
          </w:p>
        </w:tc>
        <w:tc>
          <w:tcPr>
            <w:tcW w:w="1662" w:type="dxa"/>
            <w:vMerge w:val="restart"/>
          </w:tcPr>
          <w:p w14:paraId="4798199D">
            <w:pPr>
              <w:spacing w:line="320" w:lineRule="exact"/>
              <w:rPr>
                <w:rFonts w:hint="eastAsia" w:ascii="宋体" w:cs="宋体"/>
                <w:kern w:val="0"/>
                <w:sz w:val="18"/>
                <w:szCs w:val="18"/>
                <w:highlight w:val="none"/>
              </w:rPr>
            </w:pPr>
            <w:r>
              <w:rPr>
                <w:rFonts w:hint="eastAsia" w:ascii="宋体" w:cs="宋体"/>
                <w:kern w:val="0"/>
                <w:sz w:val="18"/>
                <w:szCs w:val="18"/>
                <w:highlight w:val="none"/>
              </w:rPr>
              <w:t>《中华人民共和国消防法》第五十八条</w:t>
            </w:r>
            <w:r>
              <w:rPr>
                <w:rFonts w:hint="eastAsia" w:ascii="宋体" w:cs="宋体"/>
                <w:kern w:val="0"/>
                <w:sz w:val="18"/>
                <w:szCs w:val="18"/>
                <w:highlight w:val="none"/>
                <w:lang w:val="en-US" w:eastAsia="zh-CN"/>
              </w:rPr>
              <w:t>第一款</w:t>
            </w:r>
            <w:r>
              <w:rPr>
                <w:rFonts w:hint="eastAsia" w:ascii="宋体" w:cs="宋体"/>
                <w:kern w:val="0"/>
                <w:sz w:val="18"/>
                <w:szCs w:val="18"/>
                <w:highlight w:val="none"/>
              </w:rPr>
              <w:t>第(一)项</w:t>
            </w:r>
          </w:p>
          <w:p w14:paraId="742756CC">
            <w:pPr>
              <w:spacing w:line="320" w:lineRule="exact"/>
              <w:rPr>
                <w:rFonts w:hint="eastAsia" w:ascii="宋体" w:cs="宋体"/>
                <w:kern w:val="0"/>
                <w:sz w:val="18"/>
                <w:szCs w:val="18"/>
                <w:highlight w:val="none"/>
              </w:rPr>
            </w:pPr>
            <w:r>
              <w:rPr>
                <w:rFonts w:hint="eastAsia" w:ascii="宋体" w:cs="宋体"/>
                <w:kern w:val="0"/>
                <w:sz w:val="18"/>
                <w:szCs w:val="18"/>
                <w:highlight w:val="none"/>
              </w:rPr>
              <w:t>违反本法规定，有下列行为之一的，由住房和城乡建设主管部门、消防救援机构按照各自职权责令停止施工、停止使用或者停产停业，并处三万元以上三十万元以下罚款：</w:t>
            </w:r>
          </w:p>
          <w:p w14:paraId="3953FFBC">
            <w:pPr>
              <w:spacing w:line="320" w:lineRule="exact"/>
              <w:rPr>
                <w:rFonts w:hint="eastAsia" w:ascii="仿宋_GB2312" w:hAns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rPr>
              <w:t>（一）依法应当进行消防设计审查的建设工程，未经依法审查或者审查不合格，擅自施工的；</w:t>
            </w:r>
          </w:p>
        </w:tc>
        <w:tc>
          <w:tcPr>
            <w:tcW w:w="1155" w:type="dxa"/>
            <w:vAlign w:val="center"/>
          </w:tcPr>
          <w:p w14:paraId="426B5291">
            <w:pPr>
              <w:jc w:val="center"/>
              <w:rPr>
                <w:rFonts w:hint="default" w:ascii="楷体_GB2312" w:hAnsi="楷体_GB2312" w:eastAsia="楷体_GB2312" w:cs="楷体_GB2312"/>
                <w:b/>
                <w:bCs/>
                <w:sz w:val="21"/>
                <w:szCs w:val="21"/>
                <w:highlight w:val="none"/>
                <w:vertAlign w:val="baseline"/>
                <w:lang w:val="en-US" w:eastAsia="zh-CN"/>
              </w:rPr>
            </w:pPr>
            <w:r>
              <w:rPr>
                <w:rFonts w:hint="eastAsia" w:ascii="楷体_GB2312" w:hAnsi="楷体_GB2312" w:eastAsia="楷体_GB2312" w:cs="楷体_GB2312"/>
                <w:sz w:val="21"/>
                <w:szCs w:val="21"/>
                <w:highlight w:val="none"/>
                <w:vertAlign w:val="baseline"/>
                <w:lang w:val="en-US" w:eastAsia="zh-CN"/>
              </w:rPr>
              <w:t>从轻处罚</w:t>
            </w:r>
          </w:p>
        </w:tc>
        <w:tc>
          <w:tcPr>
            <w:tcW w:w="5466" w:type="dxa"/>
            <w:vAlign w:val="center"/>
          </w:tcPr>
          <w:p w14:paraId="49CF63B5">
            <w:pPr>
              <w:spacing w:line="320" w:lineRule="exact"/>
              <w:rPr>
                <w:rFonts w:hint="eastAsia" w:ascii="宋体" w:cs="宋体"/>
                <w:kern w:val="0"/>
                <w:sz w:val="18"/>
                <w:szCs w:val="18"/>
                <w:highlight w:val="none"/>
              </w:rPr>
            </w:pPr>
            <w:r>
              <w:rPr>
                <w:rFonts w:hint="eastAsia" w:ascii="宋体" w:cs="宋体"/>
                <w:kern w:val="0"/>
                <w:sz w:val="18"/>
                <w:szCs w:val="18"/>
                <w:highlight w:val="none"/>
              </w:rPr>
              <w:t>1、总建筑面积二万平方米以上（不含本数）的体育场馆、会堂，公共展览馆、博物馆的展示厅；</w:t>
            </w:r>
          </w:p>
          <w:p w14:paraId="51DFE7C5">
            <w:pPr>
              <w:spacing w:line="320" w:lineRule="exact"/>
              <w:rPr>
                <w:rFonts w:hint="eastAsia" w:ascii="宋体" w:cs="宋体"/>
                <w:kern w:val="0"/>
                <w:sz w:val="18"/>
                <w:szCs w:val="18"/>
                <w:highlight w:val="none"/>
              </w:rPr>
            </w:pPr>
            <w:r>
              <w:rPr>
                <w:rFonts w:hint="eastAsia" w:ascii="宋体" w:cs="宋体"/>
                <w:kern w:val="0"/>
                <w:sz w:val="18"/>
                <w:szCs w:val="18"/>
                <w:highlight w:val="none"/>
              </w:rPr>
              <w:t>2、总建筑面积一万五千平方米以上（不含本数）的民用机场航站楼、客运车站候车室、客运码头候船厅；</w:t>
            </w:r>
          </w:p>
          <w:p w14:paraId="3B091BB2">
            <w:pPr>
              <w:spacing w:line="320" w:lineRule="exact"/>
              <w:rPr>
                <w:rFonts w:hint="eastAsia" w:ascii="宋体" w:cs="宋体"/>
                <w:kern w:val="0"/>
                <w:sz w:val="18"/>
                <w:szCs w:val="18"/>
                <w:highlight w:val="none"/>
              </w:rPr>
            </w:pPr>
            <w:r>
              <w:rPr>
                <w:rFonts w:hint="eastAsia" w:ascii="宋体" w:cs="宋体"/>
                <w:kern w:val="0"/>
                <w:sz w:val="18"/>
                <w:szCs w:val="18"/>
                <w:highlight w:val="none"/>
              </w:rPr>
              <w:t>3、总建筑面积一万平方米以上（不含本数）三万平方米以下的宾馆、饭店、商场、市场；</w:t>
            </w:r>
          </w:p>
          <w:p w14:paraId="2B313FA7">
            <w:pPr>
              <w:spacing w:line="320" w:lineRule="exact"/>
              <w:rPr>
                <w:rFonts w:hint="eastAsia" w:ascii="宋体" w:cs="宋体"/>
                <w:kern w:val="0"/>
                <w:sz w:val="18"/>
                <w:szCs w:val="18"/>
                <w:highlight w:val="none"/>
              </w:rPr>
            </w:pPr>
            <w:r>
              <w:rPr>
                <w:rFonts w:hint="eastAsia" w:ascii="宋体" w:cs="宋体"/>
                <w:kern w:val="0"/>
                <w:sz w:val="18"/>
                <w:szCs w:val="18"/>
                <w:highlight w:val="none"/>
              </w:rPr>
              <w:t>4、总建筑面积二千五百平方米以上（不含本数）五千平方米以下的影剧院，公共图书馆的阅览室，营业性室内健身、休闲场馆，医院的门诊楼，大学的教学楼、图书馆、食堂，劳动密集型企业的生产加工车间，寺庙、教堂；</w:t>
            </w:r>
          </w:p>
          <w:p w14:paraId="3A52A88C">
            <w:pPr>
              <w:spacing w:line="320" w:lineRule="exact"/>
              <w:rPr>
                <w:rFonts w:hint="eastAsia" w:ascii="宋体" w:cs="宋体"/>
                <w:kern w:val="0"/>
                <w:sz w:val="18"/>
                <w:szCs w:val="18"/>
                <w:highlight w:val="none"/>
              </w:rPr>
            </w:pPr>
            <w:r>
              <w:rPr>
                <w:rFonts w:hint="eastAsia" w:ascii="宋体" w:cs="宋体"/>
                <w:kern w:val="0"/>
                <w:sz w:val="18"/>
                <w:szCs w:val="18"/>
                <w:highlight w:val="none"/>
              </w:rPr>
              <w:t>5、总建筑面积一千平方米以上（不含本数）三千平方米以下的托儿所、幼儿园的儿童用房，儿童游乐厅等室内儿童活动场所，养老院、福利院，医院、疗养院的病房楼，中小学校的教学楼、图书馆、食堂，学校的集体宿舍，劳动密集型企业的员工集体宿舍；</w:t>
            </w:r>
          </w:p>
          <w:p w14:paraId="7442C898">
            <w:pPr>
              <w:spacing w:line="320" w:lineRule="exact"/>
              <w:rPr>
                <w:rFonts w:hint="eastAsia" w:ascii="宋体" w:cs="宋体"/>
                <w:kern w:val="0"/>
                <w:sz w:val="18"/>
                <w:szCs w:val="18"/>
                <w:highlight w:val="none"/>
              </w:rPr>
            </w:pPr>
            <w:r>
              <w:rPr>
                <w:rFonts w:hint="eastAsia" w:ascii="宋体" w:cs="宋体"/>
                <w:kern w:val="0"/>
                <w:sz w:val="18"/>
                <w:szCs w:val="18"/>
                <w:highlight w:val="none"/>
              </w:rPr>
              <w:t>6、总建筑面积五百平方米以上（不含本数）二千平方米以下的歌舞厅、录像厅、放映厅、卡拉OK厅、夜总会、游艺厅、桑拿浴室、网吧、酒吧，具有娱乐功能的餐馆、茶馆、咖啡厅；</w:t>
            </w:r>
          </w:p>
          <w:p w14:paraId="0FC028FA">
            <w:pPr>
              <w:spacing w:line="320" w:lineRule="exact"/>
              <w:rPr>
                <w:rFonts w:hint="eastAsia" w:ascii="宋体" w:cs="宋体"/>
                <w:kern w:val="0"/>
                <w:sz w:val="18"/>
                <w:szCs w:val="18"/>
                <w:highlight w:val="none"/>
              </w:rPr>
            </w:pPr>
            <w:r>
              <w:rPr>
                <w:rFonts w:hint="eastAsia" w:ascii="宋体" w:cs="宋体"/>
                <w:kern w:val="0"/>
                <w:sz w:val="18"/>
                <w:szCs w:val="18"/>
                <w:highlight w:val="none"/>
              </w:rPr>
              <w:t>7、国家机关办公楼、电力调度楼、电信楼、邮政楼、防灾指挥调度楼、广播电视楼、档案楼；</w:t>
            </w:r>
          </w:p>
          <w:p w14:paraId="75D46399">
            <w:pPr>
              <w:spacing w:line="320" w:lineRule="exact"/>
              <w:rPr>
                <w:rFonts w:hint="eastAsia" w:ascii="宋体" w:cs="宋体"/>
                <w:kern w:val="0"/>
                <w:sz w:val="18"/>
                <w:szCs w:val="18"/>
                <w:highlight w:val="none"/>
              </w:rPr>
            </w:pPr>
            <w:r>
              <w:rPr>
                <w:rFonts w:hint="eastAsia" w:ascii="宋体" w:cs="宋体"/>
                <w:kern w:val="0"/>
                <w:sz w:val="18"/>
                <w:szCs w:val="18"/>
                <w:highlight w:val="none"/>
              </w:rPr>
              <w:t>8、三级加油站(三级加油加气加氢站)和其他总储量二千立方米以下的生产、储存易燃易爆危险物品的工厂、仓库；</w:t>
            </w:r>
          </w:p>
          <w:p w14:paraId="1538844D">
            <w:pPr>
              <w:spacing w:line="320" w:lineRule="exact"/>
              <w:rPr>
                <w:rFonts w:hint="eastAsia" w:ascii="宋体" w:cs="宋体"/>
                <w:kern w:val="0"/>
                <w:sz w:val="18"/>
                <w:szCs w:val="18"/>
                <w:highlight w:val="none"/>
              </w:rPr>
            </w:pPr>
            <w:r>
              <w:rPr>
                <w:rFonts w:hint="eastAsia" w:ascii="宋体" w:cs="宋体"/>
                <w:kern w:val="0"/>
                <w:sz w:val="18"/>
                <w:szCs w:val="18"/>
                <w:highlight w:val="none"/>
              </w:rPr>
              <w:t>9、装卸易燃易爆危险品专用车站、码头，易燃易爆气体和液体的充装站、供应站、调压站；</w:t>
            </w:r>
          </w:p>
          <w:p w14:paraId="0B66B171">
            <w:pPr>
              <w:rPr>
                <w:rFonts w:hint="eastAsia" w:ascii="仿宋_GB2312" w:hAns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rPr>
              <w:t>10、总建筑面积三万平方米以下的国家标准规定的一类高层住宅。</w:t>
            </w:r>
          </w:p>
        </w:tc>
        <w:tc>
          <w:tcPr>
            <w:tcW w:w="1140" w:type="dxa"/>
            <w:vAlign w:val="center"/>
          </w:tcPr>
          <w:p w14:paraId="53B47C3D">
            <w:pPr>
              <w:widowControl/>
              <w:rPr>
                <w:rFonts w:hint="eastAsia" w:ascii="仿宋_GB2312" w:hAns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lang w:eastAsia="zh-CN"/>
              </w:rPr>
              <w:t>责令停止施工、停止使用或者停产停业，并处</w:t>
            </w:r>
            <w:r>
              <w:rPr>
                <w:rFonts w:hint="eastAsia" w:ascii="宋体" w:cs="宋体"/>
                <w:kern w:val="0"/>
                <w:sz w:val="18"/>
                <w:szCs w:val="18"/>
                <w:highlight w:val="none"/>
              </w:rPr>
              <w:t>三万元以上十万元以下罚款</w:t>
            </w:r>
          </w:p>
        </w:tc>
        <w:tc>
          <w:tcPr>
            <w:tcW w:w="913" w:type="dxa"/>
            <w:vMerge w:val="restart"/>
          </w:tcPr>
          <w:p w14:paraId="11E0877F">
            <w:pPr>
              <w:rPr>
                <w:rFonts w:hint="eastAsia" w:ascii="仿宋_GB2312" w:hAnsi="仿宋_GB2312" w:cs="仿宋_GB2312" w:eastAsiaTheme="minorEastAsia"/>
                <w:b/>
                <w:bCs/>
                <w:sz w:val="21"/>
                <w:szCs w:val="21"/>
                <w:highlight w:val="none"/>
                <w:vertAlign w:val="baseline"/>
                <w:lang w:val="en-US" w:eastAsia="zh-CN"/>
              </w:rPr>
            </w:pPr>
          </w:p>
        </w:tc>
        <w:tc>
          <w:tcPr>
            <w:tcW w:w="1088" w:type="dxa"/>
            <w:vMerge w:val="restart"/>
          </w:tcPr>
          <w:p w14:paraId="77766449">
            <w:pPr>
              <w:rPr>
                <w:rFonts w:hint="default" w:ascii="仿宋_GB2312" w:hAnsi="仿宋_GB2312" w:eastAsia="仿宋_GB2312" w:cs="仿宋_GB2312"/>
                <w:b/>
                <w:bCs/>
                <w:sz w:val="21"/>
                <w:szCs w:val="21"/>
                <w:highlight w:val="none"/>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省、市、县级（执法力量下沉的地市，市级层面主要</w:t>
            </w:r>
            <w:r>
              <w:rPr>
                <w:rFonts w:hint="eastAsia" w:ascii="仿宋_GB2312" w:eastAsia="仿宋_GB2312" w:cs="仿宋_GB2312"/>
                <w:color w:val="000000"/>
                <w:sz w:val="21"/>
                <w:szCs w:val="21"/>
                <w:highlight w:val="none"/>
                <w:vertAlign w:val="baseline"/>
                <w:lang w:val="en-US" w:eastAsia="zh-CN"/>
              </w:rPr>
              <w:t>负责</w:t>
            </w: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重大疑难或者跨区域的案件查处，同时加强对下级执法行为的指导和监督，下同）</w:t>
            </w:r>
          </w:p>
        </w:tc>
      </w:tr>
      <w:tr w14:paraId="78FA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51" w:type="dxa"/>
            <w:vMerge w:val="continue"/>
          </w:tcPr>
          <w:p w14:paraId="51FDDE58">
            <w:pPr>
              <w:rPr>
                <w:rFonts w:hint="eastAsia" w:ascii="仿宋_GB2312" w:hAnsi="仿宋_GB2312" w:eastAsia="仿宋_GB2312" w:cs="仿宋_GB2312"/>
                <w:sz w:val="21"/>
                <w:szCs w:val="21"/>
                <w:highlight w:val="none"/>
                <w:vertAlign w:val="baseline"/>
                <w:lang w:val="en-US" w:eastAsia="zh-CN"/>
              </w:rPr>
            </w:pPr>
          </w:p>
        </w:tc>
        <w:tc>
          <w:tcPr>
            <w:tcW w:w="1141" w:type="dxa"/>
            <w:vMerge w:val="continue"/>
          </w:tcPr>
          <w:p w14:paraId="592A42EE">
            <w:pPr>
              <w:rPr>
                <w:rFonts w:hint="eastAsia" w:ascii="仿宋_GB2312" w:hAnsi="仿宋_GB2312" w:eastAsia="仿宋_GB2312" w:cs="仿宋_GB2312"/>
                <w:sz w:val="21"/>
                <w:szCs w:val="21"/>
                <w:highlight w:val="none"/>
                <w:vertAlign w:val="baseline"/>
                <w:lang w:val="en-US" w:eastAsia="zh-CN"/>
              </w:rPr>
            </w:pPr>
          </w:p>
        </w:tc>
        <w:tc>
          <w:tcPr>
            <w:tcW w:w="1662" w:type="dxa"/>
            <w:vMerge w:val="continue"/>
          </w:tcPr>
          <w:p w14:paraId="52CA611E">
            <w:pPr>
              <w:rPr>
                <w:rFonts w:hint="eastAsia" w:ascii="仿宋_GB2312" w:hAnsi="仿宋_GB2312" w:eastAsia="仿宋_GB2312" w:cs="仿宋_GB2312"/>
                <w:sz w:val="21"/>
                <w:szCs w:val="21"/>
                <w:highlight w:val="none"/>
                <w:vertAlign w:val="baseline"/>
                <w:lang w:val="en-US" w:eastAsia="zh-CN"/>
              </w:rPr>
            </w:pPr>
          </w:p>
        </w:tc>
        <w:tc>
          <w:tcPr>
            <w:tcW w:w="1155" w:type="dxa"/>
            <w:vAlign w:val="center"/>
          </w:tcPr>
          <w:p w14:paraId="67C706D2">
            <w:pPr>
              <w:jc w:val="center"/>
              <w:rPr>
                <w:rFonts w:hint="eastAsia" w:ascii="楷体_GB2312" w:hAnsi="楷体_GB2312" w:eastAsia="楷体_GB2312" w:cs="楷体_GB2312"/>
                <w:sz w:val="21"/>
                <w:szCs w:val="21"/>
                <w:highlight w:val="none"/>
                <w:vertAlign w:val="baseline"/>
                <w:lang w:val="en-US" w:eastAsia="zh-CN"/>
              </w:rPr>
            </w:pPr>
            <w:r>
              <w:rPr>
                <w:rFonts w:hint="eastAsia" w:ascii="楷体_GB2312" w:hAnsi="楷体_GB2312" w:eastAsia="楷体_GB2312" w:cs="楷体_GB2312"/>
                <w:sz w:val="21"/>
                <w:szCs w:val="21"/>
                <w:highlight w:val="none"/>
                <w:vertAlign w:val="baseline"/>
                <w:lang w:val="en-US" w:eastAsia="zh-CN"/>
              </w:rPr>
              <w:t>一般处罚</w:t>
            </w:r>
          </w:p>
        </w:tc>
        <w:tc>
          <w:tcPr>
            <w:tcW w:w="5466" w:type="dxa"/>
            <w:vAlign w:val="center"/>
          </w:tcPr>
          <w:p w14:paraId="51C2C767">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1、总建筑面积三万平方米以上五万平方米以下的宾馆、饭店、商场、市场；</w:t>
            </w:r>
          </w:p>
          <w:p w14:paraId="17CD68C9">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2、总建筑面积五千平方米以上一万平方米以下的影剧院，公共图书馆的阅览室，营业性室内健身、休闲场馆，医院的门诊楼，大学的教学楼、图书馆、食堂，劳动密集型企业的生产加工车间，寺庙、教堂；</w:t>
            </w:r>
          </w:p>
          <w:p w14:paraId="166627E7">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3、总建筑面积三千平方米以上一万平方米以下的托儿所、幼儿园的儿童用房，儿童游乐厅等室内儿童活动场所，养老院、福利院，医院、疗养院的病房楼，中小学校的教学楼、图书馆、食堂，学校的集体宿舍，劳动密集型企业的员工集体宿舍；</w:t>
            </w:r>
          </w:p>
          <w:p w14:paraId="1D736AAF">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4、总建筑面积二千平方米以上五千平方米以下的歌舞厅、录像厅、放映厅、卡拉OK厅、夜总会、游艺厅、桑拿浴室、网吧、酒吧，具有娱乐功能的餐馆、茶馆、咖啡厅；</w:t>
            </w:r>
          </w:p>
          <w:p w14:paraId="2F28856A">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5、单体建筑面积四万平方米以上（不含本数）或者建筑高度五十米以上（不含本数）的其他公共建筑；</w:t>
            </w:r>
          </w:p>
          <w:p w14:paraId="0EC6C876">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6、城市轨道交通、隧道工程，大型发电、变配电工程；</w:t>
            </w:r>
          </w:p>
          <w:p w14:paraId="4D309818">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7、二级加油站(二级加油加气加氢站)和其他总储量二千立方米以上五千立方米以下的生产、储存易燃易爆危险品的工厂、仓库；</w:t>
            </w:r>
          </w:p>
          <w:p w14:paraId="6F3A6BBD">
            <w:pPr>
              <w:rPr>
                <w:rFonts w:hint="eastAsia" w:ascii="Times New Roman" w:hAnsi="Times New Roman"/>
                <w:kern w:val="0"/>
                <w:sz w:val="18"/>
                <w:szCs w:val="18"/>
                <w:highlight w:val="none"/>
              </w:rPr>
            </w:pPr>
            <w:r>
              <w:rPr>
                <w:rFonts w:hint="eastAsia" w:ascii="宋体" w:cs="宋体"/>
                <w:kern w:val="0"/>
                <w:sz w:val="18"/>
                <w:szCs w:val="18"/>
                <w:highlight w:val="none"/>
              </w:rPr>
              <w:t>8、总建筑面积三万平方米以上十万平方米以下的国家标准规定的一类高层住宅。</w:t>
            </w:r>
          </w:p>
        </w:tc>
        <w:tc>
          <w:tcPr>
            <w:tcW w:w="1140" w:type="dxa"/>
            <w:vAlign w:val="center"/>
          </w:tcPr>
          <w:p w14:paraId="71ECF4BD">
            <w:pPr>
              <w:widowControl/>
              <w:rPr>
                <w:rFonts w:hint="eastAsia" w:ascii="Times New Roman" w:hAnsi="Times New Roman"/>
                <w:kern w:val="0"/>
                <w:sz w:val="18"/>
                <w:szCs w:val="18"/>
                <w:highlight w:val="none"/>
              </w:rPr>
            </w:pPr>
            <w:r>
              <w:rPr>
                <w:rFonts w:hint="eastAsia" w:ascii="宋体" w:cs="宋体"/>
                <w:kern w:val="0"/>
                <w:sz w:val="18"/>
                <w:szCs w:val="18"/>
                <w:highlight w:val="none"/>
                <w:lang w:eastAsia="zh-CN"/>
              </w:rPr>
              <w:t>责令停止施工、停止使用或者停产停业，并处</w:t>
            </w:r>
            <w:r>
              <w:rPr>
                <w:rFonts w:hint="eastAsia" w:ascii="宋体" w:cs="宋体"/>
                <w:kern w:val="0"/>
                <w:sz w:val="18"/>
                <w:szCs w:val="18"/>
                <w:highlight w:val="none"/>
              </w:rPr>
              <w:t>十万元以上二十万元以下罚款</w:t>
            </w:r>
          </w:p>
        </w:tc>
        <w:tc>
          <w:tcPr>
            <w:tcW w:w="913" w:type="dxa"/>
            <w:vMerge w:val="continue"/>
          </w:tcPr>
          <w:p w14:paraId="0B98D068">
            <w:pPr>
              <w:rPr>
                <w:rFonts w:hint="eastAsia" w:ascii="仿宋_GB2312" w:hAnsi="仿宋_GB2312" w:eastAsia="仿宋_GB2312" w:cs="仿宋_GB2312"/>
                <w:sz w:val="21"/>
                <w:szCs w:val="21"/>
                <w:highlight w:val="none"/>
                <w:vertAlign w:val="baseline"/>
                <w:lang w:val="en-US" w:eastAsia="zh-CN"/>
              </w:rPr>
            </w:pPr>
          </w:p>
        </w:tc>
        <w:tc>
          <w:tcPr>
            <w:tcW w:w="1088" w:type="dxa"/>
            <w:vMerge w:val="continue"/>
          </w:tcPr>
          <w:p w14:paraId="7F1A9B74">
            <w:pPr>
              <w:rPr>
                <w:rFonts w:hint="eastAsia" w:ascii="仿宋_GB2312" w:hAnsi="仿宋_GB2312" w:eastAsia="仿宋_GB2312" w:cs="仿宋_GB2312"/>
                <w:sz w:val="21"/>
                <w:szCs w:val="21"/>
                <w:highlight w:val="none"/>
                <w:vertAlign w:val="baseline"/>
                <w:lang w:val="en-US" w:eastAsia="zh-CN"/>
              </w:rPr>
            </w:pPr>
          </w:p>
        </w:tc>
      </w:tr>
      <w:tr w14:paraId="0B13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51" w:type="dxa"/>
            <w:vMerge w:val="continue"/>
          </w:tcPr>
          <w:p w14:paraId="19651ABC">
            <w:pPr>
              <w:rPr>
                <w:rFonts w:hint="eastAsia" w:ascii="仿宋_GB2312" w:hAnsi="仿宋_GB2312" w:eastAsia="仿宋_GB2312" w:cs="仿宋_GB2312"/>
                <w:sz w:val="21"/>
                <w:szCs w:val="21"/>
                <w:highlight w:val="none"/>
                <w:vertAlign w:val="baseline"/>
                <w:lang w:val="en-US" w:eastAsia="zh-CN"/>
              </w:rPr>
            </w:pPr>
          </w:p>
        </w:tc>
        <w:tc>
          <w:tcPr>
            <w:tcW w:w="1141" w:type="dxa"/>
            <w:vMerge w:val="continue"/>
          </w:tcPr>
          <w:p w14:paraId="68A7D3FB">
            <w:pPr>
              <w:rPr>
                <w:rFonts w:hint="eastAsia" w:ascii="仿宋_GB2312" w:hAnsi="仿宋_GB2312" w:eastAsia="仿宋_GB2312" w:cs="仿宋_GB2312"/>
                <w:sz w:val="21"/>
                <w:szCs w:val="21"/>
                <w:highlight w:val="none"/>
                <w:vertAlign w:val="baseline"/>
                <w:lang w:val="en-US" w:eastAsia="zh-CN"/>
              </w:rPr>
            </w:pPr>
          </w:p>
        </w:tc>
        <w:tc>
          <w:tcPr>
            <w:tcW w:w="1662" w:type="dxa"/>
            <w:vMerge w:val="continue"/>
          </w:tcPr>
          <w:p w14:paraId="40942C9D">
            <w:pPr>
              <w:rPr>
                <w:rFonts w:hint="eastAsia" w:ascii="仿宋_GB2312" w:hAnsi="仿宋_GB2312" w:eastAsia="仿宋_GB2312" w:cs="仿宋_GB2312"/>
                <w:sz w:val="21"/>
                <w:szCs w:val="21"/>
                <w:highlight w:val="none"/>
                <w:vertAlign w:val="baseline"/>
                <w:lang w:val="en-US" w:eastAsia="zh-CN"/>
              </w:rPr>
            </w:pPr>
          </w:p>
        </w:tc>
        <w:tc>
          <w:tcPr>
            <w:tcW w:w="1155" w:type="dxa"/>
            <w:vAlign w:val="center"/>
          </w:tcPr>
          <w:p w14:paraId="75CC925D">
            <w:pPr>
              <w:jc w:val="center"/>
              <w:rPr>
                <w:rFonts w:hint="default" w:ascii="楷体_GB2312" w:hAnsi="楷体_GB2312" w:eastAsia="楷体_GB2312" w:cs="楷体_GB2312"/>
                <w:sz w:val="21"/>
                <w:szCs w:val="21"/>
                <w:highlight w:val="none"/>
                <w:vertAlign w:val="baseline"/>
                <w:lang w:val="en-US" w:eastAsia="zh-CN"/>
              </w:rPr>
            </w:pPr>
            <w:r>
              <w:rPr>
                <w:rFonts w:hint="eastAsia" w:ascii="楷体_GB2312" w:hAnsi="楷体_GB2312" w:eastAsia="楷体_GB2312" w:cs="楷体_GB2312"/>
                <w:sz w:val="21"/>
                <w:szCs w:val="21"/>
                <w:highlight w:val="none"/>
                <w:vertAlign w:val="baseline"/>
                <w:lang w:val="en-US" w:eastAsia="zh-CN"/>
              </w:rPr>
              <w:t>从重处罚</w:t>
            </w:r>
          </w:p>
        </w:tc>
        <w:tc>
          <w:tcPr>
            <w:tcW w:w="5466" w:type="dxa"/>
            <w:vAlign w:val="center"/>
          </w:tcPr>
          <w:p w14:paraId="064CABB3">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1、总建筑面积五万平方米以上的宾馆、饭店、商场、市场；</w:t>
            </w:r>
          </w:p>
          <w:p w14:paraId="36BC6C91">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2、总建筑面积一万平方米以上的影剧院，公共图书馆的阅览室，营业性室内健身、休闲场馆，医院的门诊楼，大学的教学楼、图书馆、食堂，劳动密集型企业的生产加工车间，寺庙、教堂；</w:t>
            </w:r>
          </w:p>
          <w:p w14:paraId="19540E57">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3、总建筑面积一万平方米以上的托儿所、幼儿园的儿童用房，儿童游乐厅等室内儿童活动场所，养老院、福利院，医院、疗养院的病房楼，中小学校的教学楼、图书馆、食堂，学校的集体宿舍，劳动密集型企业的员工集体宿舍；</w:t>
            </w:r>
          </w:p>
          <w:p w14:paraId="13AA2706">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4、总建筑面积五千平方米以上的歌舞厅、录像厅、放映厅、卡拉OK厅、夜总会、游艺厅、桑拿浴室、网吧、酒吧，具有娱乐功能的餐馆、茶馆、咖啡厅；</w:t>
            </w:r>
          </w:p>
          <w:p w14:paraId="4C32CC76">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5、一级加油站(一级加油加气加氢站)和其他总储量五千立方米以上的生产、储存易燃易爆危险品的工厂、仓库；</w:t>
            </w:r>
          </w:p>
          <w:p w14:paraId="7E21470D">
            <w:pPr>
              <w:rPr>
                <w:rFonts w:hint="eastAsia" w:ascii="仿宋_GB2312" w:hAnsi="仿宋_GB2312" w:eastAsia="仿宋_GB2312" w:cs="仿宋_GB2312"/>
                <w:sz w:val="21"/>
                <w:szCs w:val="21"/>
                <w:highlight w:val="none"/>
                <w:vertAlign w:val="baseline"/>
                <w:lang w:val="en-US" w:eastAsia="zh-CN"/>
              </w:rPr>
            </w:pPr>
            <w:r>
              <w:rPr>
                <w:rFonts w:hint="eastAsia" w:ascii="宋体" w:cs="宋体"/>
                <w:kern w:val="0"/>
                <w:sz w:val="18"/>
                <w:szCs w:val="18"/>
                <w:highlight w:val="none"/>
              </w:rPr>
              <w:t>6、总建筑面积十万平方米以上的国家标准规定的一类高层住宅。</w:t>
            </w:r>
          </w:p>
        </w:tc>
        <w:tc>
          <w:tcPr>
            <w:tcW w:w="1140" w:type="dxa"/>
            <w:vAlign w:val="center"/>
          </w:tcPr>
          <w:p w14:paraId="7507C277">
            <w:pPr>
              <w:widowControl/>
              <w:rPr>
                <w:rFonts w:hint="eastAsia" w:ascii="仿宋_GB2312" w:hAnsi="仿宋_GB2312" w:eastAsia="仿宋_GB2312" w:cs="仿宋_GB2312"/>
                <w:sz w:val="21"/>
                <w:szCs w:val="21"/>
                <w:highlight w:val="none"/>
                <w:vertAlign w:val="baseline"/>
                <w:lang w:val="en-US" w:eastAsia="zh-CN"/>
              </w:rPr>
            </w:pPr>
            <w:r>
              <w:rPr>
                <w:rFonts w:hint="eastAsia" w:ascii="宋体" w:cs="宋体"/>
                <w:kern w:val="0"/>
                <w:sz w:val="18"/>
                <w:szCs w:val="18"/>
                <w:highlight w:val="none"/>
                <w:lang w:eastAsia="zh-CN"/>
              </w:rPr>
              <w:t>责令停止施工、停止使用或者停产停业，并处</w:t>
            </w:r>
            <w:r>
              <w:rPr>
                <w:rFonts w:hint="eastAsia" w:ascii="宋体" w:cs="宋体"/>
                <w:kern w:val="0"/>
                <w:sz w:val="18"/>
                <w:szCs w:val="18"/>
                <w:highlight w:val="none"/>
              </w:rPr>
              <w:t>二十万元以上三十万元以下罚款</w:t>
            </w:r>
          </w:p>
        </w:tc>
        <w:tc>
          <w:tcPr>
            <w:tcW w:w="913" w:type="dxa"/>
            <w:vMerge w:val="continue"/>
          </w:tcPr>
          <w:p w14:paraId="0AE6D6A7">
            <w:pPr>
              <w:rPr>
                <w:rFonts w:hint="eastAsia" w:ascii="仿宋_GB2312" w:hAnsi="仿宋_GB2312" w:eastAsia="仿宋_GB2312" w:cs="仿宋_GB2312"/>
                <w:sz w:val="21"/>
                <w:szCs w:val="21"/>
                <w:highlight w:val="none"/>
                <w:vertAlign w:val="baseline"/>
                <w:lang w:val="en-US" w:eastAsia="zh-CN"/>
              </w:rPr>
            </w:pPr>
          </w:p>
        </w:tc>
        <w:tc>
          <w:tcPr>
            <w:tcW w:w="1088" w:type="dxa"/>
            <w:vMerge w:val="continue"/>
          </w:tcPr>
          <w:p w14:paraId="6E3243AB">
            <w:pPr>
              <w:rPr>
                <w:rFonts w:hint="eastAsia" w:ascii="仿宋_GB2312" w:hAnsi="仿宋_GB2312" w:eastAsia="仿宋_GB2312" w:cs="仿宋_GB2312"/>
                <w:sz w:val="21"/>
                <w:szCs w:val="21"/>
                <w:highlight w:val="none"/>
                <w:vertAlign w:val="baseline"/>
                <w:lang w:val="en-US" w:eastAsia="zh-CN"/>
              </w:rPr>
            </w:pPr>
          </w:p>
        </w:tc>
      </w:tr>
    </w:tbl>
    <w:p w14:paraId="78CFF1EB">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p>
    <w:p w14:paraId="5C7C536B">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072"/>
        <w:gridCol w:w="1796"/>
        <w:gridCol w:w="1163"/>
        <w:gridCol w:w="5059"/>
        <w:gridCol w:w="1266"/>
        <w:gridCol w:w="1062"/>
        <w:gridCol w:w="1101"/>
      </w:tblGrid>
      <w:tr w14:paraId="603B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vAlign w:val="center"/>
          </w:tcPr>
          <w:p w14:paraId="1D34B297">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072" w:type="dxa"/>
            <w:vAlign w:val="center"/>
          </w:tcPr>
          <w:p w14:paraId="3886705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1796" w:type="dxa"/>
            <w:vAlign w:val="center"/>
          </w:tcPr>
          <w:p w14:paraId="35E714AF">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163" w:type="dxa"/>
            <w:vAlign w:val="center"/>
          </w:tcPr>
          <w:p w14:paraId="2BAA8D2E">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5059" w:type="dxa"/>
            <w:vAlign w:val="center"/>
          </w:tcPr>
          <w:p w14:paraId="300287E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1266" w:type="dxa"/>
            <w:vAlign w:val="center"/>
          </w:tcPr>
          <w:p w14:paraId="3C19237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1062" w:type="dxa"/>
            <w:vAlign w:val="center"/>
          </w:tcPr>
          <w:p w14:paraId="0404754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101" w:type="dxa"/>
            <w:vAlign w:val="center"/>
          </w:tcPr>
          <w:p w14:paraId="3AC0DE62">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建议实施处罚层级</w:t>
            </w:r>
          </w:p>
        </w:tc>
      </w:tr>
      <w:tr w14:paraId="005B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0445BA1E">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3B72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7" w:type="dxa"/>
            <w:vMerge w:val="restart"/>
          </w:tcPr>
          <w:p w14:paraId="52130796">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2403002</w:t>
            </w:r>
          </w:p>
        </w:tc>
        <w:tc>
          <w:tcPr>
            <w:tcW w:w="1072" w:type="dxa"/>
            <w:vMerge w:val="restart"/>
          </w:tcPr>
          <w:p w14:paraId="192E3176">
            <w:pPr>
              <w:rPr>
                <w:rFonts w:hint="eastAsia" w:ascii="仿宋_GB2312" w:hAnsi="仿宋_GB2312" w:cs="仿宋_GB2312" w:eastAsiaTheme="minorEastAsia"/>
                <w:b/>
                <w:bCs/>
                <w:sz w:val="21"/>
                <w:szCs w:val="21"/>
                <w:vertAlign w:val="baseline"/>
                <w:lang w:val="en-US" w:eastAsia="zh-CN"/>
              </w:rPr>
            </w:pPr>
            <w:r>
              <w:rPr>
                <w:rFonts w:hint="eastAsia" w:ascii="宋体" w:cs="宋体"/>
                <w:kern w:val="0"/>
                <w:sz w:val="18"/>
                <w:szCs w:val="18"/>
              </w:rPr>
              <w:t>依法应当进行消防验收的建设工程，未经消防验收或者消防验收不合格，擅自投入使用</w:t>
            </w:r>
            <w:r>
              <w:rPr>
                <w:rFonts w:hint="eastAsia" w:ascii="宋体" w:cs="宋体"/>
                <w:kern w:val="0"/>
                <w:sz w:val="18"/>
                <w:szCs w:val="18"/>
                <w:lang w:eastAsia="zh-CN"/>
              </w:rPr>
              <w:t>的</w:t>
            </w:r>
          </w:p>
        </w:tc>
        <w:tc>
          <w:tcPr>
            <w:tcW w:w="1796" w:type="dxa"/>
            <w:vMerge w:val="restart"/>
          </w:tcPr>
          <w:p w14:paraId="787E7292">
            <w:pPr>
              <w:spacing w:line="320" w:lineRule="exact"/>
              <w:rPr>
                <w:rFonts w:hint="eastAsia" w:ascii="宋体" w:cs="宋体"/>
                <w:kern w:val="0"/>
                <w:sz w:val="18"/>
                <w:szCs w:val="18"/>
              </w:rPr>
            </w:pPr>
            <w:r>
              <w:rPr>
                <w:rFonts w:hint="eastAsia" w:ascii="宋体" w:cs="宋体"/>
                <w:kern w:val="0"/>
                <w:sz w:val="18"/>
                <w:szCs w:val="18"/>
              </w:rPr>
              <w:t>《中华人民共和国消防法》第五十八条第一款第(二)项</w:t>
            </w:r>
          </w:p>
          <w:p w14:paraId="2A04F0B4">
            <w:pPr>
              <w:spacing w:line="320" w:lineRule="exact"/>
              <w:rPr>
                <w:rFonts w:hint="eastAsia" w:ascii="宋体" w:cs="宋体"/>
                <w:kern w:val="0"/>
                <w:sz w:val="18"/>
                <w:szCs w:val="18"/>
              </w:rPr>
            </w:pPr>
            <w:r>
              <w:rPr>
                <w:rFonts w:hint="eastAsia" w:ascii="宋体" w:cs="宋体"/>
                <w:kern w:val="0"/>
                <w:sz w:val="18"/>
                <w:szCs w:val="18"/>
              </w:rPr>
              <w:t>违反本法规定，有下列行为之一的，由住房和城乡建设主管部门、消防救援机构按照各自职权责令停止施工、停止使用或者停产停业，并处三万元以上三十万元以下罚款：</w:t>
            </w:r>
          </w:p>
          <w:p w14:paraId="709E8161">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rPr>
              <w:t>（二）依法应当进行消防验收的建设工程，未经消防验收或者消防验收不合格，擅自投入使用的；</w:t>
            </w:r>
          </w:p>
        </w:tc>
        <w:tc>
          <w:tcPr>
            <w:tcW w:w="1163" w:type="dxa"/>
            <w:vAlign w:val="center"/>
          </w:tcPr>
          <w:p w14:paraId="08DB0FEE">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5059" w:type="dxa"/>
            <w:vAlign w:val="center"/>
          </w:tcPr>
          <w:p w14:paraId="3020F980">
            <w:pPr>
              <w:spacing w:line="320" w:lineRule="exact"/>
              <w:rPr>
                <w:rFonts w:hint="eastAsia" w:ascii="宋体" w:cs="宋体"/>
                <w:kern w:val="0"/>
                <w:sz w:val="18"/>
                <w:szCs w:val="18"/>
              </w:rPr>
            </w:pPr>
            <w:r>
              <w:rPr>
                <w:rFonts w:hint="eastAsia" w:ascii="宋体" w:cs="宋体"/>
                <w:kern w:val="0"/>
                <w:sz w:val="18"/>
                <w:szCs w:val="18"/>
              </w:rPr>
              <w:t>1、总建筑面积二万平方米以上（不含本数）的体育场馆、会堂，公共展览馆、博物馆的展示厅；</w:t>
            </w:r>
          </w:p>
          <w:p w14:paraId="1A06976B">
            <w:pPr>
              <w:spacing w:line="320" w:lineRule="exact"/>
              <w:rPr>
                <w:rFonts w:hint="eastAsia" w:ascii="宋体" w:cs="宋体"/>
                <w:kern w:val="0"/>
                <w:sz w:val="18"/>
                <w:szCs w:val="18"/>
              </w:rPr>
            </w:pPr>
            <w:r>
              <w:rPr>
                <w:rFonts w:hint="eastAsia" w:ascii="宋体" w:cs="宋体"/>
                <w:kern w:val="0"/>
                <w:sz w:val="18"/>
                <w:szCs w:val="18"/>
              </w:rPr>
              <w:t>2、总建筑面积一万五千平方米以上（不含本数）的民用机场航站楼、客运车站候车室、客运码头候船厅；</w:t>
            </w:r>
          </w:p>
          <w:p w14:paraId="664EB9AE">
            <w:pPr>
              <w:spacing w:line="320" w:lineRule="exact"/>
              <w:rPr>
                <w:rFonts w:hint="eastAsia" w:ascii="宋体" w:cs="宋体"/>
                <w:kern w:val="0"/>
                <w:sz w:val="18"/>
                <w:szCs w:val="18"/>
              </w:rPr>
            </w:pPr>
            <w:r>
              <w:rPr>
                <w:rFonts w:hint="eastAsia" w:ascii="宋体" w:cs="宋体"/>
                <w:kern w:val="0"/>
                <w:sz w:val="18"/>
                <w:szCs w:val="18"/>
              </w:rPr>
              <w:t>3、总建筑面积一万平方米以上（不含本数）三万平方米以下的宾馆、饭店、商场、市场；</w:t>
            </w:r>
          </w:p>
          <w:p w14:paraId="46CECB7F">
            <w:pPr>
              <w:spacing w:line="320" w:lineRule="exact"/>
              <w:rPr>
                <w:rFonts w:hint="eastAsia" w:ascii="宋体" w:cs="宋体"/>
                <w:kern w:val="0"/>
                <w:sz w:val="18"/>
                <w:szCs w:val="18"/>
              </w:rPr>
            </w:pPr>
            <w:r>
              <w:rPr>
                <w:rFonts w:hint="eastAsia" w:ascii="宋体" w:cs="宋体"/>
                <w:kern w:val="0"/>
                <w:sz w:val="18"/>
                <w:szCs w:val="18"/>
              </w:rPr>
              <w:t>4、总建筑面积二千五百平方米以上（不含本数）五千平方米以下的影剧院，公共图书馆的阅览室，营业性室内健身、休闲场馆，医院的门诊楼，大学的教学楼、图书馆、食堂，劳动密集型企业的生产加工车间，寺庙、教堂；</w:t>
            </w:r>
          </w:p>
          <w:p w14:paraId="2BE0287B">
            <w:pPr>
              <w:spacing w:line="320" w:lineRule="exact"/>
              <w:rPr>
                <w:rFonts w:hint="eastAsia" w:ascii="宋体" w:cs="宋体"/>
                <w:kern w:val="0"/>
                <w:sz w:val="18"/>
                <w:szCs w:val="18"/>
              </w:rPr>
            </w:pPr>
            <w:r>
              <w:rPr>
                <w:rFonts w:hint="eastAsia" w:ascii="宋体" w:cs="宋体"/>
                <w:kern w:val="0"/>
                <w:sz w:val="18"/>
                <w:szCs w:val="18"/>
              </w:rPr>
              <w:t>5、总建筑面积一千平方米以上（不含本数）三千平方米以下的托儿所、幼儿园的儿童用房，儿童游乐厅等室内儿童活动场所，养老院、福利院，医院、疗养院的病房楼，中小学校的教学楼、图书馆、食堂，学校的集体宿舍，劳动密集型企业的员工集体宿舍；</w:t>
            </w:r>
          </w:p>
          <w:p w14:paraId="200C4E4D">
            <w:pPr>
              <w:spacing w:line="320" w:lineRule="exact"/>
              <w:rPr>
                <w:rFonts w:hint="eastAsia" w:ascii="宋体" w:cs="宋体"/>
                <w:kern w:val="0"/>
                <w:sz w:val="18"/>
                <w:szCs w:val="18"/>
              </w:rPr>
            </w:pPr>
            <w:r>
              <w:rPr>
                <w:rFonts w:hint="eastAsia" w:ascii="宋体" w:cs="宋体"/>
                <w:kern w:val="0"/>
                <w:sz w:val="18"/>
                <w:szCs w:val="18"/>
              </w:rPr>
              <w:t>6、总建筑面积五百平方米以上（不含本数）二千平方米以下的歌舞厅、录像厅、放映厅、卡拉OK厅、夜总会、游艺厅、桑拿浴室、网吧、酒吧，具有娱乐功能的餐馆、茶馆、咖啡厅；</w:t>
            </w:r>
          </w:p>
          <w:p w14:paraId="02C102F4">
            <w:pPr>
              <w:spacing w:line="320" w:lineRule="exact"/>
              <w:rPr>
                <w:rFonts w:hint="eastAsia" w:ascii="宋体" w:cs="宋体"/>
                <w:kern w:val="0"/>
                <w:sz w:val="18"/>
                <w:szCs w:val="18"/>
              </w:rPr>
            </w:pPr>
            <w:r>
              <w:rPr>
                <w:rFonts w:hint="eastAsia" w:ascii="宋体" w:cs="宋体"/>
                <w:kern w:val="0"/>
                <w:sz w:val="18"/>
                <w:szCs w:val="18"/>
              </w:rPr>
              <w:t>7、国家机关办公楼、电力调度楼、电信楼、邮政楼、防灾指挥调度楼、广播电视楼、档案楼；</w:t>
            </w:r>
          </w:p>
          <w:p w14:paraId="4FD65A55">
            <w:pPr>
              <w:spacing w:line="320" w:lineRule="exact"/>
              <w:rPr>
                <w:rFonts w:hint="eastAsia" w:ascii="宋体" w:cs="宋体"/>
                <w:kern w:val="0"/>
                <w:sz w:val="18"/>
                <w:szCs w:val="18"/>
              </w:rPr>
            </w:pPr>
            <w:r>
              <w:rPr>
                <w:rFonts w:hint="eastAsia" w:ascii="宋体" w:cs="宋体"/>
                <w:kern w:val="0"/>
                <w:sz w:val="18"/>
                <w:szCs w:val="18"/>
              </w:rPr>
              <w:t>8、三级加油站(三级加油加气加氢站)和其他总储量二千立方米以下的生产、储存易燃易爆危险物品的工厂、仓库；</w:t>
            </w:r>
          </w:p>
          <w:p w14:paraId="3CC4D80F">
            <w:pPr>
              <w:spacing w:line="320" w:lineRule="exact"/>
              <w:rPr>
                <w:rFonts w:hint="eastAsia" w:ascii="宋体" w:cs="宋体"/>
                <w:kern w:val="0"/>
                <w:sz w:val="18"/>
                <w:szCs w:val="18"/>
              </w:rPr>
            </w:pPr>
            <w:r>
              <w:rPr>
                <w:rFonts w:hint="eastAsia" w:ascii="宋体" w:cs="宋体"/>
                <w:kern w:val="0"/>
                <w:sz w:val="18"/>
                <w:szCs w:val="18"/>
              </w:rPr>
              <w:t>9、装卸易燃易爆危险品专用车站、码头，易燃易爆气体和液体的充装站、供应站、调压站；</w:t>
            </w:r>
          </w:p>
          <w:p w14:paraId="557CD272">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rPr>
              <w:t>10、总建筑面积三万平方米以下的国家标准规定的一类高层住宅。</w:t>
            </w:r>
          </w:p>
        </w:tc>
        <w:tc>
          <w:tcPr>
            <w:tcW w:w="1266" w:type="dxa"/>
            <w:vAlign w:val="center"/>
          </w:tcPr>
          <w:p w14:paraId="44226992">
            <w:pPr>
              <w:widowControl/>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eastAsia="zh-CN"/>
              </w:rPr>
              <w:t>责令停止施工、停止使用或者停产停业，并处</w:t>
            </w:r>
            <w:r>
              <w:rPr>
                <w:rFonts w:hint="eastAsia" w:ascii="宋体" w:cs="宋体"/>
                <w:kern w:val="0"/>
                <w:sz w:val="18"/>
                <w:szCs w:val="18"/>
              </w:rPr>
              <w:t>三万元以上十万元以下罚款</w:t>
            </w:r>
          </w:p>
        </w:tc>
        <w:tc>
          <w:tcPr>
            <w:tcW w:w="1062" w:type="dxa"/>
            <w:vMerge w:val="restart"/>
          </w:tcPr>
          <w:p w14:paraId="70041E0F">
            <w:pPr>
              <w:rPr>
                <w:rFonts w:hint="eastAsia" w:ascii="仿宋_GB2312" w:hAnsi="仿宋_GB2312" w:eastAsia="仿宋_GB2312" w:cs="仿宋_GB2312"/>
                <w:b/>
                <w:bCs/>
                <w:sz w:val="21"/>
                <w:szCs w:val="21"/>
                <w:vertAlign w:val="baseline"/>
                <w:lang w:val="en-US" w:eastAsia="zh-CN"/>
              </w:rPr>
            </w:pPr>
          </w:p>
        </w:tc>
        <w:tc>
          <w:tcPr>
            <w:tcW w:w="1101" w:type="dxa"/>
            <w:vMerge w:val="restart"/>
          </w:tcPr>
          <w:p w14:paraId="2A93630A">
            <w:pP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省、</w:t>
            </w:r>
            <w:r>
              <w:rPr>
                <w:rFonts w:hint="eastAsia" w:ascii="宋体" w:cs="宋体"/>
                <w:kern w:val="0"/>
                <w:sz w:val="18"/>
                <w:szCs w:val="18"/>
                <w:lang w:val="en-US" w:eastAsia="zh-CN"/>
              </w:rPr>
              <w:t>市、县级</w:t>
            </w:r>
          </w:p>
        </w:tc>
      </w:tr>
      <w:tr w14:paraId="7732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97" w:type="dxa"/>
            <w:vMerge w:val="continue"/>
          </w:tcPr>
          <w:p w14:paraId="440E5BBB">
            <w:pPr>
              <w:rPr>
                <w:rFonts w:hint="eastAsia" w:ascii="仿宋_GB2312" w:hAnsi="仿宋_GB2312" w:eastAsia="仿宋_GB2312" w:cs="仿宋_GB2312"/>
                <w:sz w:val="21"/>
                <w:szCs w:val="21"/>
                <w:vertAlign w:val="baseline"/>
                <w:lang w:val="en-US" w:eastAsia="zh-CN"/>
              </w:rPr>
            </w:pPr>
          </w:p>
        </w:tc>
        <w:tc>
          <w:tcPr>
            <w:tcW w:w="1072" w:type="dxa"/>
            <w:vMerge w:val="continue"/>
          </w:tcPr>
          <w:p w14:paraId="0FBD6C53">
            <w:pPr>
              <w:rPr>
                <w:rFonts w:hint="eastAsia" w:ascii="仿宋_GB2312" w:hAnsi="仿宋_GB2312" w:eastAsia="仿宋_GB2312" w:cs="仿宋_GB2312"/>
                <w:sz w:val="21"/>
                <w:szCs w:val="21"/>
                <w:vertAlign w:val="baseline"/>
                <w:lang w:val="en-US" w:eastAsia="zh-CN"/>
              </w:rPr>
            </w:pPr>
          </w:p>
        </w:tc>
        <w:tc>
          <w:tcPr>
            <w:tcW w:w="1796" w:type="dxa"/>
            <w:vMerge w:val="continue"/>
          </w:tcPr>
          <w:p w14:paraId="3A9CA279">
            <w:pPr>
              <w:rPr>
                <w:rFonts w:hint="eastAsia" w:ascii="仿宋_GB2312" w:hAnsi="仿宋_GB2312" w:eastAsia="仿宋_GB2312" w:cs="仿宋_GB2312"/>
                <w:sz w:val="21"/>
                <w:szCs w:val="21"/>
                <w:vertAlign w:val="baseline"/>
                <w:lang w:val="en-US" w:eastAsia="zh-CN"/>
              </w:rPr>
            </w:pPr>
          </w:p>
        </w:tc>
        <w:tc>
          <w:tcPr>
            <w:tcW w:w="1163" w:type="dxa"/>
            <w:vAlign w:val="center"/>
          </w:tcPr>
          <w:p w14:paraId="7310F428">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5059" w:type="dxa"/>
            <w:vAlign w:val="center"/>
          </w:tcPr>
          <w:p w14:paraId="70D396BD">
            <w:pPr>
              <w:spacing w:line="320" w:lineRule="exact"/>
              <w:jc w:val="left"/>
              <w:rPr>
                <w:rFonts w:hint="eastAsia" w:ascii="宋体" w:cs="宋体"/>
                <w:kern w:val="0"/>
                <w:sz w:val="18"/>
                <w:szCs w:val="18"/>
              </w:rPr>
            </w:pPr>
            <w:r>
              <w:rPr>
                <w:rFonts w:hint="eastAsia" w:ascii="宋体" w:cs="宋体"/>
                <w:kern w:val="0"/>
                <w:sz w:val="18"/>
                <w:szCs w:val="18"/>
              </w:rPr>
              <w:t>1、总建筑面积三万平方米以上五万平方米以下的宾馆、饭店、商场、市场；</w:t>
            </w:r>
          </w:p>
          <w:p w14:paraId="1A2B5206">
            <w:pPr>
              <w:spacing w:line="320" w:lineRule="exact"/>
              <w:jc w:val="left"/>
              <w:rPr>
                <w:rFonts w:hint="eastAsia" w:ascii="宋体" w:cs="宋体"/>
                <w:kern w:val="0"/>
                <w:sz w:val="18"/>
                <w:szCs w:val="18"/>
              </w:rPr>
            </w:pPr>
            <w:r>
              <w:rPr>
                <w:rFonts w:hint="eastAsia" w:ascii="宋体" w:cs="宋体"/>
                <w:kern w:val="0"/>
                <w:sz w:val="18"/>
                <w:szCs w:val="18"/>
              </w:rPr>
              <w:t>2、总建筑面积五千平方米以上一万平方米以下的影剧院，公共图书馆的阅览室，营业性室内健身、休闲场馆，医院的门诊楼，大学的教学楼、图书馆、食堂，劳动密集型企业的生产加工车间，寺庙、教堂；</w:t>
            </w:r>
          </w:p>
          <w:p w14:paraId="0C734CB9">
            <w:pPr>
              <w:spacing w:line="320" w:lineRule="exact"/>
              <w:jc w:val="left"/>
              <w:rPr>
                <w:rFonts w:hint="eastAsia" w:ascii="宋体" w:cs="宋体"/>
                <w:kern w:val="0"/>
                <w:sz w:val="18"/>
                <w:szCs w:val="18"/>
              </w:rPr>
            </w:pPr>
            <w:r>
              <w:rPr>
                <w:rFonts w:hint="eastAsia" w:ascii="宋体" w:cs="宋体"/>
                <w:kern w:val="0"/>
                <w:sz w:val="18"/>
                <w:szCs w:val="18"/>
              </w:rPr>
              <w:t>3、总建筑面积三千平方米以上一万平方米以下的托儿所、幼儿园的儿童用房，儿童游乐厅等室内儿童活动场所，养老院、福利院，医院、疗养院的病房楼，中小学校的教学楼、图书馆、食堂，学校的集体宿舍，劳动密集型企业的员工集体宿舍；</w:t>
            </w:r>
          </w:p>
          <w:p w14:paraId="55970EDE">
            <w:pPr>
              <w:spacing w:line="320" w:lineRule="exact"/>
              <w:jc w:val="left"/>
              <w:rPr>
                <w:rFonts w:hint="eastAsia" w:ascii="宋体" w:cs="宋体"/>
                <w:kern w:val="0"/>
                <w:sz w:val="18"/>
                <w:szCs w:val="18"/>
              </w:rPr>
            </w:pPr>
            <w:r>
              <w:rPr>
                <w:rFonts w:hint="eastAsia" w:ascii="宋体" w:cs="宋体"/>
                <w:kern w:val="0"/>
                <w:sz w:val="18"/>
                <w:szCs w:val="18"/>
              </w:rPr>
              <w:t>4、总建筑面积二千平方米以上五千平方米以下的歌舞厅、录像厅、放映厅、卡拉OK厅、夜总会、游艺厅、桑拿浴室、网吧、酒吧，具有娱乐功能的餐馆、茶馆、咖啡厅；</w:t>
            </w:r>
          </w:p>
          <w:p w14:paraId="75180185">
            <w:pPr>
              <w:spacing w:line="320" w:lineRule="exact"/>
              <w:jc w:val="left"/>
              <w:rPr>
                <w:rFonts w:hint="eastAsia" w:ascii="宋体" w:cs="宋体"/>
                <w:kern w:val="0"/>
                <w:sz w:val="18"/>
                <w:szCs w:val="18"/>
              </w:rPr>
            </w:pPr>
            <w:r>
              <w:rPr>
                <w:rFonts w:hint="eastAsia" w:ascii="宋体" w:cs="宋体"/>
                <w:kern w:val="0"/>
                <w:sz w:val="18"/>
                <w:szCs w:val="18"/>
              </w:rPr>
              <w:t>5、单体建筑面积四万平方米以上（不含本数）或者建筑高度五十米以上（不含本数）的其他公共建筑；</w:t>
            </w:r>
          </w:p>
          <w:p w14:paraId="336FBBE0">
            <w:pPr>
              <w:spacing w:line="320" w:lineRule="exact"/>
              <w:jc w:val="left"/>
              <w:rPr>
                <w:rFonts w:hint="eastAsia" w:ascii="宋体" w:cs="宋体"/>
                <w:kern w:val="0"/>
                <w:sz w:val="18"/>
                <w:szCs w:val="18"/>
              </w:rPr>
            </w:pPr>
            <w:r>
              <w:rPr>
                <w:rFonts w:hint="eastAsia" w:ascii="宋体" w:cs="宋体"/>
                <w:kern w:val="0"/>
                <w:sz w:val="18"/>
                <w:szCs w:val="18"/>
              </w:rPr>
              <w:t>6、城市轨道交通、隧道工程，大型发电、变配电工程；</w:t>
            </w:r>
          </w:p>
          <w:p w14:paraId="7124FC80">
            <w:pPr>
              <w:spacing w:line="320" w:lineRule="exact"/>
              <w:jc w:val="left"/>
              <w:rPr>
                <w:rFonts w:hint="eastAsia" w:ascii="宋体" w:cs="宋体"/>
                <w:kern w:val="0"/>
                <w:sz w:val="18"/>
                <w:szCs w:val="18"/>
              </w:rPr>
            </w:pPr>
            <w:r>
              <w:rPr>
                <w:rFonts w:hint="eastAsia" w:ascii="宋体" w:cs="宋体"/>
                <w:kern w:val="0"/>
                <w:sz w:val="18"/>
                <w:szCs w:val="18"/>
              </w:rPr>
              <w:t>7、二级加油站(二级加油加气加氢站)和其他总储量二千立方米以上五千立方米以下的生产、储存易燃易爆危险品的工厂、仓库；</w:t>
            </w:r>
          </w:p>
          <w:p w14:paraId="2B3D8184">
            <w:pPr>
              <w:rPr>
                <w:rFonts w:hint="eastAsia" w:ascii="Times New Roman" w:hAnsi="Times New Roman"/>
                <w:kern w:val="0"/>
                <w:sz w:val="18"/>
                <w:szCs w:val="18"/>
              </w:rPr>
            </w:pPr>
            <w:r>
              <w:rPr>
                <w:rFonts w:hint="eastAsia" w:ascii="宋体" w:cs="宋体"/>
                <w:kern w:val="0"/>
                <w:sz w:val="18"/>
                <w:szCs w:val="18"/>
              </w:rPr>
              <w:t>8、总建筑面积三万平方米以上十万平方米以下的国家标准规定的一类高层住宅。</w:t>
            </w:r>
          </w:p>
        </w:tc>
        <w:tc>
          <w:tcPr>
            <w:tcW w:w="1266" w:type="dxa"/>
            <w:vAlign w:val="center"/>
          </w:tcPr>
          <w:p w14:paraId="3F679EEA">
            <w:pPr>
              <w:widowControl/>
              <w:rPr>
                <w:rFonts w:hint="eastAsia" w:ascii="Times New Roman" w:hAnsi="Times New Roman"/>
                <w:kern w:val="0"/>
                <w:sz w:val="18"/>
                <w:szCs w:val="18"/>
              </w:rPr>
            </w:pPr>
            <w:r>
              <w:rPr>
                <w:rFonts w:hint="eastAsia" w:ascii="宋体" w:cs="宋体"/>
                <w:kern w:val="0"/>
                <w:sz w:val="18"/>
                <w:szCs w:val="18"/>
                <w:lang w:eastAsia="zh-CN"/>
              </w:rPr>
              <w:t>责令停止施工、停止使用或者停产停业，并处</w:t>
            </w:r>
            <w:r>
              <w:rPr>
                <w:rFonts w:hint="eastAsia" w:ascii="宋体" w:cs="宋体"/>
                <w:kern w:val="0"/>
                <w:sz w:val="18"/>
                <w:szCs w:val="18"/>
              </w:rPr>
              <w:t>十万元以上二十万元以下罚款</w:t>
            </w:r>
          </w:p>
        </w:tc>
        <w:tc>
          <w:tcPr>
            <w:tcW w:w="1062" w:type="dxa"/>
            <w:vMerge w:val="continue"/>
          </w:tcPr>
          <w:p w14:paraId="737BB918">
            <w:pPr>
              <w:rPr>
                <w:rFonts w:hint="eastAsia" w:ascii="仿宋_GB2312" w:hAnsi="仿宋_GB2312" w:eastAsia="仿宋_GB2312" w:cs="仿宋_GB2312"/>
                <w:sz w:val="21"/>
                <w:szCs w:val="21"/>
                <w:vertAlign w:val="baseline"/>
                <w:lang w:val="en-US" w:eastAsia="zh-CN"/>
              </w:rPr>
            </w:pPr>
          </w:p>
        </w:tc>
        <w:tc>
          <w:tcPr>
            <w:tcW w:w="1101" w:type="dxa"/>
            <w:vMerge w:val="continue"/>
          </w:tcPr>
          <w:p w14:paraId="0214C513">
            <w:pPr>
              <w:rPr>
                <w:rFonts w:hint="eastAsia" w:ascii="仿宋_GB2312" w:hAnsi="仿宋_GB2312" w:eastAsia="仿宋_GB2312" w:cs="仿宋_GB2312"/>
                <w:sz w:val="21"/>
                <w:szCs w:val="21"/>
                <w:vertAlign w:val="baseline"/>
                <w:lang w:val="en-US" w:eastAsia="zh-CN"/>
              </w:rPr>
            </w:pPr>
          </w:p>
        </w:tc>
      </w:tr>
      <w:tr w14:paraId="0563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97" w:type="dxa"/>
            <w:vMerge w:val="continue"/>
          </w:tcPr>
          <w:p w14:paraId="2AF34ECC">
            <w:pPr>
              <w:rPr>
                <w:rFonts w:hint="eastAsia" w:ascii="仿宋_GB2312" w:hAnsi="仿宋_GB2312" w:eastAsia="仿宋_GB2312" w:cs="仿宋_GB2312"/>
                <w:sz w:val="21"/>
                <w:szCs w:val="21"/>
                <w:vertAlign w:val="baseline"/>
                <w:lang w:val="en-US" w:eastAsia="zh-CN"/>
              </w:rPr>
            </w:pPr>
          </w:p>
        </w:tc>
        <w:tc>
          <w:tcPr>
            <w:tcW w:w="1072" w:type="dxa"/>
            <w:vMerge w:val="continue"/>
          </w:tcPr>
          <w:p w14:paraId="1F99DE75">
            <w:pPr>
              <w:rPr>
                <w:rFonts w:hint="eastAsia" w:ascii="仿宋_GB2312" w:hAnsi="仿宋_GB2312" w:eastAsia="仿宋_GB2312" w:cs="仿宋_GB2312"/>
                <w:sz w:val="21"/>
                <w:szCs w:val="21"/>
                <w:vertAlign w:val="baseline"/>
                <w:lang w:val="en-US" w:eastAsia="zh-CN"/>
              </w:rPr>
            </w:pPr>
          </w:p>
        </w:tc>
        <w:tc>
          <w:tcPr>
            <w:tcW w:w="1796" w:type="dxa"/>
            <w:vMerge w:val="continue"/>
          </w:tcPr>
          <w:p w14:paraId="7031575A">
            <w:pPr>
              <w:rPr>
                <w:rFonts w:hint="eastAsia" w:ascii="仿宋_GB2312" w:hAnsi="仿宋_GB2312" w:eastAsia="仿宋_GB2312" w:cs="仿宋_GB2312"/>
                <w:sz w:val="21"/>
                <w:szCs w:val="21"/>
                <w:vertAlign w:val="baseline"/>
                <w:lang w:val="en-US" w:eastAsia="zh-CN"/>
              </w:rPr>
            </w:pPr>
          </w:p>
        </w:tc>
        <w:tc>
          <w:tcPr>
            <w:tcW w:w="1163" w:type="dxa"/>
            <w:vAlign w:val="center"/>
          </w:tcPr>
          <w:p w14:paraId="223EBBDE">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5059" w:type="dxa"/>
            <w:vAlign w:val="center"/>
          </w:tcPr>
          <w:p w14:paraId="085B7E35">
            <w:pPr>
              <w:spacing w:line="320" w:lineRule="exact"/>
              <w:jc w:val="left"/>
              <w:rPr>
                <w:rFonts w:hint="eastAsia" w:ascii="宋体" w:cs="宋体"/>
                <w:kern w:val="0"/>
                <w:sz w:val="18"/>
                <w:szCs w:val="18"/>
              </w:rPr>
            </w:pPr>
            <w:r>
              <w:rPr>
                <w:rFonts w:hint="eastAsia" w:ascii="宋体" w:cs="宋体"/>
                <w:kern w:val="0"/>
                <w:sz w:val="18"/>
                <w:szCs w:val="18"/>
              </w:rPr>
              <w:t>1、总建筑面积五万平方米以上的宾馆、饭店、商场、市场；</w:t>
            </w:r>
          </w:p>
          <w:p w14:paraId="28672956">
            <w:pPr>
              <w:spacing w:line="320" w:lineRule="exact"/>
              <w:jc w:val="left"/>
              <w:rPr>
                <w:rFonts w:hint="eastAsia" w:ascii="宋体" w:cs="宋体"/>
                <w:kern w:val="0"/>
                <w:sz w:val="18"/>
                <w:szCs w:val="18"/>
              </w:rPr>
            </w:pPr>
            <w:r>
              <w:rPr>
                <w:rFonts w:hint="eastAsia" w:ascii="宋体" w:cs="宋体"/>
                <w:kern w:val="0"/>
                <w:sz w:val="18"/>
                <w:szCs w:val="18"/>
              </w:rPr>
              <w:t>2、总建筑面积一万平方米以上的影剧院，公共图书馆的阅览室，营业性室内健身、休闲场馆，医院的门诊楼，大学的教学楼、图书馆、食堂，劳动密集型企业的生产加工车间，寺庙、教堂；</w:t>
            </w:r>
          </w:p>
          <w:p w14:paraId="6E2C504A">
            <w:pPr>
              <w:spacing w:line="320" w:lineRule="exact"/>
              <w:jc w:val="left"/>
              <w:rPr>
                <w:rFonts w:hint="eastAsia" w:ascii="宋体" w:cs="宋体"/>
                <w:kern w:val="0"/>
                <w:sz w:val="18"/>
                <w:szCs w:val="18"/>
              </w:rPr>
            </w:pPr>
            <w:r>
              <w:rPr>
                <w:rFonts w:hint="eastAsia" w:ascii="宋体" w:cs="宋体"/>
                <w:kern w:val="0"/>
                <w:sz w:val="18"/>
                <w:szCs w:val="18"/>
              </w:rPr>
              <w:t>3、总建筑面积一万平方米以上的托儿所、幼儿园的儿童用房，儿童游乐厅等室内儿童活动场所，养老院、福利院，医院、疗养院的病房楼，中小学校的教学楼、图书馆、食堂，学校的集体宿舍，劳动密集型企业的员工集体宿舍；</w:t>
            </w:r>
          </w:p>
          <w:p w14:paraId="7AD643FC">
            <w:pPr>
              <w:spacing w:line="320" w:lineRule="exact"/>
              <w:jc w:val="left"/>
              <w:rPr>
                <w:rFonts w:hint="eastAsia" w:ascii="宋体" w:cs="宋体"/>
                <w:kern w:val="0"/>
                <w:sz w:val="18"/>
                <w:szCs w:val="18"/>
              </w:rPr>
            </w:pPr>
            <w:r>
              <w:rPr>
                <w:rFonts w:hint="eastAsia" w:ascii="宋体" w:cs="宋体"/>
                <w:kern w:val="0"/>
                <w:sz w:val="18"/>
                <w:szCs w:val="18"/>
              </w:rPr>
              <w:t>4、总建筑面积五千平方米以上的歌舞厅、录像厅、放映厅、卡拉OK厅、夜总会、游艺厅、桑拿浴室、网吧、酒吧，具有娱乐功能的餐馆、茶馆、咖啡厅；</w:t>
            </w:r>
          </w:p>
          <w:p w14:paraId="4251AEB1">
            <w:pPr>
              <w:spacing w:line="320" w:lineRule="exact"/>
              <w:jc w:val="left"/>
              <w:rPr>
                <w:rFonts w:hint="eastAsia" w:ascii="宋体" w:cs="宋体"/>
                <w:kern w:val="0"/>
                <w:sz w:val="18"/>
                <w:szCs w:val="18"/>
              </w:rPr>
            </w:pPr>
            <w:r>
              <w:rPr>
                <w:rFonts w:hint="eastAsia" w:ascii="宋体" w:cs="宋体"/>
                <w:kern w:val="0"/>
                <w:sz w:val="18"/>
                <w:szCs w:val="18"/>
              </w:rPr>
              <w:t>5、一级加油站(一级加油加气加氢站)和其他总储量五千立方米以上的生产、储存易燃易爆危险品的工厂、仓库；</w:t>
            </w:r>
          </w:p>
          <w:p w14:paraId="414F5CD5">
            <w:pPr>
              <w:rPr>
                <w:rFonts w:hint="eastAsia" w:ascii="仿宋_GB2312" w:hAnsi="仿宋_GB2312" w:eastAsia="仿宋_GB2312" w:cs="仿宋_GB2312"/>
                <w:sz w:val="21"/>
                <w:szCs w:val="21"/>
                <w:vertAlign w:val="baseline"/>
                <w:lang w:val="en-US" w:eastAsia="zh-CN"/>
              </w:rPr>
            </w:pPr>
            <w:r>
              <w:rPr>
                <w:rFonts w:hint="eastAsia" w:ascii="宋体" w:cs="宋体"/>
                <w:kern w:val="0"/>
                <w:sz w:val="18"/>
                <w:szCs w:val="18"/>
              </w:rPr>
              <w:t>6、总建筑面积十万平方米以上的国家标准规定的一类高层住宅。</w:t>
            </w:r>
          </w:p>
        </w:tc>
        <w:tc>
          <w:tcPr>
            <w:tcW w:w="1266" w:type="dxa"/>
            <w:vAlign w:val="center"/>
          </w:tcPr>
          <w:p w14:paraId="7A28E386">
            <w:pPr>
              <w:widowControl/>
              <w:rPr>
                <w:rFonts w:hint="eastAsia" w:ascii="仿宋_GB2312" w:hAnsi="仿宋_GB2312" w:eastAsia="仿宋_GB2312" w:cs="仿宋_GB2312"/>
                <w:sz w:val="21"/>
                <w:szCs w:val="21"/>
                <w:vertAlign w:val="baseline"/>
                <w:lang w:val="en-US" w:eastAsia="zh-CN"/>
              </w:rPr>
            </w:pPr>
            <w:r>
              <w:rPr>
                <w:rFonts w:hint="eastAsia" w:ascii="宋体" w:cs="宋体"/>
                <w:kern w:val="0"/>
                <w:sz w:val="18"/>
                <w:szCs w:val="18"/>
                <w:lang w:eastAsia="zh-CN"/>
              </w:rPr>
              <w:t>责令停止施工、停止使用或者停产停业，并处</w:t>
            </w:r>
            <w:r>
              <w:rPr>
                <w:rFonts w:hint="eastAsia" w:ascii="宋体" w:cs="宋体"/>
                <w:kern w:val="0"/>
                <w:sz w:val="18"/>
                <w:szCs w:val="18"/>
              </w:rPr>
              <w:t>二十万元以上三十万元以下罚款</w:t>
            </w:r>
          </w:p>
        </w:tc>
        <w:tc>
          <w:tcPr>
            <w:tcW w:w="1062" w:type="dxa"/>
            <w:vMerge w:val="continue"/>
          </w:tcPr>
          <w:p w14:paraId="38AEC458">
            <w:pPr>
              <w:rPr>
                <w:rFonts w:hint="eastAsia" w:ascii="仿宋_GB2312" w:hAnsi="仿宋_GB2312" w:eastAsia="仿宋_GB2312" w:cs="仿宋_GB2312"/>
                <w:sz w:val="21"/>
                <w:szCs w:val="21"/>
                <w:vertAlign w:val="baseline"/>
                <w:lang w:val="en-US" w:eastAsia="zh-CN"/>
              </w:rPr>
            </w:pPr>
          </w:p>
        </w:tc>
        <w:tc>
          <w:tcPr>
            <w:tcW w:w="1101" w:type="dxa"/>
            <w:vMerge w:val="continue"/>
          </w:tcPr>
          <w:p w14:paraId="1E96B82E">
            <w:pPr>
              <w:rPr>
                <w:rFonts w:hint="eastAsia" w:ascii="仿宋_GB2312" w:hAnsi="仿宋_GB2312" w:eastAsia="仿宋_GB2312" w:cs="仿宋_GB2312"/>
                <w:sz w:val="21"/>
                <w:szCs w:val="21"/>
                <w:vertAlign w:val="baseline"/>
                <w:lang w:val="en-US" w:eastAsia="zh-CN"/>
              </w:rPr>
            </w:pPr>
          </w:p>
        </w:tc>
      </w:tr>
    </w:tbl>
    <w:p w14:paraId="518D6DCA">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p>
    <w:p w14:paraId="682C21BE">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50"/>
        <w:gridCol w:w="2100"/>
        <w:gridCol w:w="1375"/>
        <w:gridCol w:w="4137"/>
        <w:gridCol w:w="1206"/>
        <w:gridCol w:w="1212"/>
        <w:gridCol w:w="1226"/>
      </w:tblGrid>
      <w:tr w14:paraId="327B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vAlign w:val="center"/>
          </w:tcPr>
          <w:p w14:paraId="3214696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250" w:type="dxa"/>
            <w:vAlign w:val="center"/>
          </w:tcPr>
          <w:p w14:paraId="2DBACFC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2100" w:type="dxa"/>
            <w:vAlign w:val="center"/>
          </w:tcPr>
          <w:p w14:paraId="7204AFA5">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375" w:type="dxa"/>
            <w:vAlign w:val="center"/>
          </w:tcPr>
          <w:p w14:paraId="174F539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4137" w:type="dxa"/>
            <w:vAlign w:val="center"/>
          </w:tcPr>
          <w:p w14:paraId="007117F3">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1206" w:type="dxa"/>
            <w:vAlign w:val="center"/>
          </w:tcPr>
          <w:p w14:paraId="0CE248F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1212" w:type="dxa"/>
            <w:vAlign w:val="center"/>
          </w:tcPr>
          <w:p w14:paraId="4737736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226" w:type="dxa"/>
            <w:vAlign w:val="center"/>
          </w:tcPr>
          <w:p w14:paraId="02D761AA">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建议实施处罚层级</w:t>
            </w:r>
          </w:p>
        </w:tc>
      </w:tr>
      <w:tr w14:paraId="70D2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47A406CD">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755A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10" w:type="dxa"/>
            <w:vMerge w:val="restart"/>
          </w:tcPr>
          <w:p w14:paraId="58FD96CF">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2403003</w:t>
            </w:r>
          </w:p>
        </w:tc>
        <w:tc>
          <w:tcPr>
            <w:tcW w:w="1250" w:type="dxa"/>
            <w:vMerge w:val="restart"/>
          </w:tcPr>
          <w:p w14:paraId="652F1614">
            <w:pPr>
              <w:spacing w:line="320" w:lineRule="exact"/>
              <w:rPr>
                <w:rFonts w:hint="eastAsia" w:ascii="仿宋_GB2312" w:hAnsi="仿宋_GB2312" w:cs="仿宋_GB2312" w:eastAsiaTheme="minorEastAsia"/>
                <w:b/>
                <w:bCs/>
                <w:sz w:val="21"/>
                <w:szCs w:val="21"/>
                <w:vertAlign w:val="baseline"/>
                <w:lang w:val="en-US" w:eastAsia="zh-CN"/>
              </w:rPr>
            </w:pPr>
            <w:r>
              <w:rPr>
                <w:rFonts w:hint="eastAsia" w:ascii="宋体" w:hAnsi="宋体" w:cs="宋体"/>
                <w:color w:val="000000"/>
                <w:spacing w:val="8"/>
                <w:szCs w:val="21"/>
              </w:rPr>
              <w:t>其他建设工程验收后经依法抽查不合格，不停止使用</w:t>
            </w:r>
            <w:r>
              <w:rPr>
                <w:rFonts w:hint="eastAsia" w:ascii="宋体" w:hAnsi="宋体" w:cs="宋体"/>
                <w:color w:val="000000"/>
                <w:spacing w:val="8"/>
                <w:szCs w:val="21"/>
                <w:lang w:eastAsia="zh-CN"/>
              </w:rPr>
              <w:t>的</w:t>
            </w:r>
          </w:p>
        </w:tc>
        <w:tc>
          <w:tcPr>
            <w:tcW w:w="2100" w:type="dxa"/>
            <w:vMerge w:val="restart"/>
          </w:tcPr>
          <w:p w14:paraId="2E81CB10">
            <w:pPr>
              <w:widowControl/>
              <w:rPr>
                <w:rFonts w:hint="eastAsia" w:ascii="宋体" w:hAnsi="宋体" w:cs="宋体"/>
                <w:color w:val="000000"/>
                <w:kern w:val="0"/>
                <w:szCs w:val="21"/>
              </w:rPr>
            </w:pPr>
            <w:r>
              <w:rPr>
                <w:rFonts w:hint="eastAsia" w:ascii="宋体" w:hAnsi="宋体" w:cs="宋体"/>
                <w:color w:val="000000"/>
                <w:kern w:val="0"/>
                <w:szCs w:val="21"/>
              </w:rPr>
              <w:t>《中华人民共和国消防法》第五十八</w:t>
            </w:r>
            <w:r>
              <w:rPr>
                <w:rFonts w:hint="eastAsia" w:ascii="宋体" w:hAnsi="宋体" w:cs="宋体"/>
                <w:color w:val="000000"/>
                <w:spacing w:val="8"/>
                <w:szCs w:val="21"/>
              </w:rPr>
              <w:t>条第一款第(</w:t>
            </w:r>
            <w:r>
              <w:rPr>
                <w:rFonts w:hint="eastAsia" w:ascii="宋体" w:hAnsi="宋体" w:cs="宋体"/>
                <w:color w:val="000000"/>
                <w:kern w:val="0"/>
                <w:szCs w:val="21"/>
              </w:rPr>
              <w:t>三)项</w:t>
            </w:r>
          </w:p>
          <w:p w14:paraId="76113396">
            <w:pPr>
              <w:rPr>
                <w:rFonts w:hint="eastAsia" w:ascii="宋体" w:hAnsi="宋体" w:cs="宋体"/>
                <w:color w:val="000000"/>
                <w:spacing w:val="8"/>
                <w:szCs w:val="21"/>
              </w:rPr>
            </w:pPr>
            <w:r>
              <w:rPr>
                <w:rFonts w:hint="eastAsia" w:ascii="宋体" w:hAnsi="宋体" w:cs="宋体"/>
                <w:color w:val="000000"/>
                <w:spacing w:val="8"/>
                <w:szCs w:val="21"/>
              </w:rPr>
              <w:t>违反本法规定，有下列行为之一的，由住房和城乡建设主管部门、消防救援机构按照各自职权责令停止施工、停止使用或者停产停业，并处三万元以上三十万元以下罚款：</w:t>
            </w:r>
          </w:p>
          <w:p w14:paraId="5FCCC007">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（三）本法第十三条规定的其他建设工程验收后经依法抽查不合格，不停止使用的；</w:t>
            </w:r>
          </w:p>
        </w:tc>
        <w:tc>
          <w:tcPr>
            <w:tcW w:w="1375" w:type="dxa"/>
            <w:vAlign w:val="center"/>
          </w:tcPr>
          <w:p w14:paraId="4FEC7854">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4137" w:type="dxa"/>
            <w:vAlign w:val="center"/>
          </w:tcPr>
          <w:p w14:paraId="60BC7EBD">
            <w:pPr>
              <w:rPr>
                <w:rFonts w:hint="eastAsia" w:ascii="宋体" w:cs="宋体"/>
                <w:kern w:val="0"/>
                <w:sz w:val="18"/>
                <w:szCs w:val="18"/>
              </w:rPr>
            </w:pPr>
            <w:r>
              <w:rPr>
                <w:rFonts w:hint="eastAsia" w:ascii="宋体" w:cs="宋体"/>
                <w:kern w:val="0"/>
                <w:sz w:val="18"/>
                <w:szCs w:val="18"/>
              </w:rPr>
              <w:t>总建筑面积二万平方米以下（含本数）的体育馆、会堂，公共展览馆、博物馆的展厅；一万五千平方米以下的民用机场航站楼、客运车站候车室、客运码头候船厅；五千平方米以下的宾馆、饭店、商场、市场；二千五百平方米以下（含本数）的影剧院，公共图书馆的阅览室，营业性室内健身、休闲场馆，医院的门诊楼，大学的教学楼、图书馆、食堂，劳动密集型企业的生产加工车间，寺庙、教堂；</w:t>
            </w:r>
          </w:p>
          <w:p w14:paraId="6C5BD13C">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rPr>
              <w:t>一千平方米以下（含本数）的托儿所，幼儿园的儿童用房、儿童游乐厅等室内儿童活动场所，养老院、福利院、医院、疗养院的病房楼，中小学校的教学楼、图书馆、食堂，学校的集体宿舍，劳动密集型企业的员工集体宿舍；五百平方米以下（含本数）的其他公共娱乐场所；除上述情形其他工程的单、多层民用建筑；三万平方米以下的非劳动密集型生产车间、库房；对其他场所或者工程的单、多层工业建筑。</w:t>
            </w:r>
          </w:p>
        </w:tc>
        <w:tc>
          <w:tcPr>
            <w:tcW w:w="1206" w:type="dxa"/>
            <w:vAlign w:val="center"/>
          </w:tcPr>
          <w:p w14:paraId="103ED5D0">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rPr>
              <w:t>责令停止施工、停止使用或者停产停业</w:t>
            </w:r>
            <w:r>
              <w:rPr>
                <w:rFonts w:hint="eastAsia" w:ascii="宋体" w:cs="宋体"/>
                <w:kern w:val="0"/>
                <w:sz w:val="18"/>
                <w:szCs w:val="18"/>
                <w:lang w:eastAsia="zh-CN"/>
              </w:rPr>
              <w:t>，</w:t>
            </w:r>
            <w:r>
              <w:rPr>
                <w:rFonts w:hint="eastAsia" w:ascii="宋体" w:cs="宋体"/>
                <w:kern w:val="0"/>
                <w:sz w:val="18"/>
                <w:szCs w:val="18"/>
                <w:lang w:val="en-US" w:eastAsia="zh-CN"/>
              </w:rPr>
              <w:t>并</w:t>
            </w:r>
            <w:r>
              <w:rPr>
                <w:rFonts w:hint="eastAsia" w:ascii="宋体" w:cs="宋体"/>
                <w:kern w:val="0"/>
                <w:sz w:val="18"/>
                <w:szCs w:val="18"/>
              </w:rPr>
              <w:t>处三万元以上十万元以下罚款</w:t>
            </w:r>
          </w:p>
        </w:tc>
        <w:tc>
          <w:tcPr>
            <w:tcW w:w="1212" w:type="dxa"/>
            <w:vMerge w:val="restart"/>
          </w:tcPr>
          <w:p w14:paraId="291FD6D4">
            <w:pPr>
              <w:rPr>
                <w:rFonts w:hint="eastAsia" w:ascii="仿宋_GB2312" w:hAnsi="仿宋_GB2312" w:eastAsia="仿宋_GB2312" w:cs="仿宋_GB2312"/>
                <w:b/>
                <w:bCs/>
                <w:sz w:val="21"/>
                <w:szCs w:val="21"/>
                <w:vertAlign w:val="baseline"/>
                <w:lang w:val="en-US" w:eastAsia="zh-CN"/>
              </w:rPr>
            </w:pPr>
          </w:p>
        </w:tc>
        <w:tc>
          <w:tcPr>
            <w:tcW w:w="1226" w:type="dxa"/>
            <w:vMerge w:val="restart"/>
          </w:tcPr>
          <w:p w14:paraId="3E8918F5">
            <w:pP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省、</w:t>
            </w:r>
            <w:r>
              <w:rPr>
                <w:rFonts w:hint="eastAsia" w:ascii="宋体" w:cs="宋体"/>
                <w:kern w:val="0"/>
                <w:sz w:val="18"/>
                <w:szCs w:val="18"/>
                <w:lang w:val="en-US" w:eastAsia="zh-CN"/>
              </w:rPr>
              <w:t>市、县级</w:t>
            </w:r>
          </w:p>
        </w:tc>
      </w:tr>
      <w:tr w14:paraId="087E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2" w:hRule="atLeast"/>
        </w:trPr>
        <w:tc>
          <w:tcPr>
            <w:tcW w:w="1010" w:type="dxa"/>
            <w:vMerge w:val="continue"/>
          </w:tcPr>
          <w:p w14:paraId="7DE7A5A3">
            <w:pPr>
              <w:rPr>
                <w:rFonts w:hint="eastAsia" w:ascii="仿宋_GB2312" w:hAnsi="仿宋_GB2312" w:eastAsia="仿宋_GB2312" w:cs="仿宋_GB2312"/>
                <w:sz w:val="21"/>
                <w:szCs w:val="21"/>
                <w:vertAlign w:val="baseline"/>
                <w:lang w:val="en-US" w:eastAsia="zh-CN"/>
              </w:rPr>
            </w:pPr>
          </w:p>
        </w:tc>
        <w:tc>
          <w:tcPr>
            <w:tcW w:w="1250" w:type="dxa"/>
            <w:vMerge w:val="continue"/>
          </w:tcPr>
          <w:p w14:paraId="0DE7E4C3">
            <w:pPr>
              <w:rPr>
                <w:rFonts w:hint="eastAsia" w:ascii="仿宋_GB2312" w:hAnsi="仿宋_GB2312" w:eastAsia="仿宋_GB2312" w:cs="仿宋_GB2312"/>
                <w:sz w:val="21"/>
                <w:szCs w:val="21"/>
                <w:vertAlign w:val="baseline"/>
                <w:lang w:val="en-US" w:eastAsia="zh-CN"/>
              </w:rPr>
            </w:pPr>
          </w:p>
        </w:tc>
        <w:tc>
          <w:tcPr>
            <w:tcW w:w="2100" w:type="dxa"/>
            <w:vMerge w:val="continue"/>
          </w:tcPr>
          <w:p w14:paraId="72421F4B">
            <w:pPr>
              <w:rPr>
                <w:rFonts w:hint="eastAsia" w:ascii="仿宋_GB2312" w:hAnsi="仿宋_GB2312" w:eastAsia="仿宋_GB2312" w:cs="仿宋_GB2312"/>
                <w:sz w:val="21"/>
                <w:szCs w:val="21"/>
                <w:vertAlign w:val="baseline"/>
                <w:lang w:val="en-US" w:eastAsia="zh-CN"/>
              </w:rPr>
            </w:pPr>
          </w:p>
        </w:tc>
        <w:tc>
          <w:tcPr>
            <w:tcW w:w="1375" w:type="dxa"/>
            <w:vAlign w:val="center"/>
          </w:tcPr>
          <w:p w14:paraId="55EB7A94">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4137" w:type="dxa"/>
            <w:vAlign w:val="center"/>
          </w:tcPr>
          <w:p w14:paraId="19096F0A">
            <w:pPr>
              <w:rPr>
                <w:rFonts w:hint="eastAsia" w:ascii="Times New Roman" w:hAnsi="Times New Roman"/>
                <w:kern w:val="0"/>
                <w:sz w:val="18"/>
                <w:szCs w:val="18"/>
              </w:rPr>
            </w:pPr>
            <w:r>
              <w:rPr>
                <w:rFonts w:hint="eastAsia" w:ascii="宋体" w:cs="宋体"/>
                <w:kern w:val="0"/>
                <w:sz w:val="18"/>
                <w:szCs w:val="18"/>
              </w:rPr>
              <w:t>总建筑面积五千平方米以上一万平方米以下（含本数）的宾馆、饭店、商场、市场；其他非特殊工程高层民用建筑；三万平方米以上五万平方米以下的非劳动密集型生产车间、库房；其他工程的高层工业建筑</w:t>
            </w:r>
          </w:p>
        </w:tc>
        <w:tc>
          <w:tcPr>
            <w:tcW w:w="1206" w:type="dxa"/>
            <w:vAlign w:val="center"/>
          </w:tcPr>
          <w:p w14:paraId="313EC50F">
            <w:pPr>
              <w:spacing w:line="320" w:lineRule="exact"/>
              <w:rPr>
                <w:rFonts w:hint="eastAsia" w:ascii="Times New Roman" w:hAnsi="Times New Roman"/>
                <w:kern w:val="0"/>
                <w:sz w:val="18"/>
                <w:szCs w:val="18"/>
              </w:rPr>
            </w:pPr>
            <w:r>
              <w:rPr>
                <w:rFonts w:hint="eastAsia" w:ascii="宋体" w:cs="宋体"/>
                <w:kern w:val="0"/>
                <w:sz w:val="18"/>
                <w:szCs w:val="18"/>
              </w:rPr>
              <w:t>责令停止施工、停止使用或者停产停业</w:t>
            </w:r>
            <w:r>
              <w:rPr>
                <w:rFonts w:hint="eastAsia" w:ascii="宋体" w:cs="宋体"/>
                <w:kern w:val="0"/>
                <w:sz w:val="18"/>
                <w:szCs w:val="18"/>
                <w:lang w:eastAsia="zh-CN"/>
              </w:rPr>
              <w:t>，</w:t>
            </w:r>
            <w:r>
              <w:rPr>
                <w:rFonts w:hint="eastAsia" w:ascii="宋体" w:cs="宋体"/>
                <w:kern w:val="0"/>
                <w:sz w:val="18"/>
                <w:szCs w:val="18"/>
                <w:lang w:val="en-US" w:eastAsia="zh-CN"/>
              </w:rPr>
              <w:t>并</w:t>
            </w:r>
            <w:r>
              <w:rPr>
                <w:rFonts w:hint="eastAsia" w:ascii="宋体" w:cs="宋体"/>
                <w:kern w:val="0"/>
                <w:sz w:val="18"/>
                <w:szCs w:val="18"/>
              </w:rPr>
              <w:t>处十万元以上二十万元以下罚款</w:t>
            </w:r>
          </w:p>
        </w:tc>
        <w:tc>
          <w:tcPr>
            <w:tcW w:w="1212" w:type="dxa"/>
            <w:vMerge w:val="continue"/>
          </w:tcPr>
          <w:p w14:paraId="29121830">
            <w:pPr>
              <w:rPr>
                <w:rFonts w:hint="eastAsia" w:ascii="仿宋_GB2312" w:hAnsi="仿宋_GB2312" w:eastAsia="仿宋_GB2312" w:cs="仿宋_GB2312"/>
                <w:sz w:val="21"/>
                <w:szCs w:val="21"/>
                <w:vertAlign w:val="baseline"/>
                <w:lang w:val="en-US" w:eastAsia="zh-CN"/>
              </w:rPr>
            </w:pPr>
          </w:p>
        </w:tc>
        <w:tc>
          <w:tcPr>
            <w:tcW w:w="1226" w:type="dxa"/>
            <w:vMerge w:val="continue"/>
          </w:tcPr>
          <w:p w14:paraId="7D16F4F0">
            <w:pPr>
              <w:rPr>
                <w:rFonts w:hint="eastAsia" w:ascii="仿宋_GB2312" w:hAnsi="仿宋_GB2312" w:eastAsia="仿宋_GB2312" w:cs="仿宋_GB2312"/>
                <w:sz w:val="21"/>
                <w:szCs w:val="21"/>
                <w:vertAlign w:val="baseline"/>
                <w:lang w:val="en-US" w:eastAsia="zh-CN"/>
              </w:rPr>
            </w:pPr>
          </w:p>
        </w:tc>
      </w:tr>
      <w:tr w14:paraId="16CC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atLeast"/>
        </w:trPr>
        <w:tc>
          <w:tcPr>
            <w:tcW w:w="1010" w:type="dxa"/>
            <w:vMerge w:val="continue"/>
          </w:tcPr>
          <w:p w14:paraId="23BEB40B">
            <w:pPr>
              <w:rPr>
                <w:rFonts w:hint="eastAsia" w:ascii="仿宋_GB2312" w:hAnsi="仿宋_GB2312" w:eastAsia="仿宋_GB2312" w:cs="仿宋_GB2312"/>
                <w:sz w:val="21"/>
                <w:szCs w:val="21"/>
                <w:vertAlign w:val="baseline"/>
                <w:lang w:val="en-US" w:eastAsia="zh-CN"/>
              </w:rPr>
            </w:pPr>
          </w:p>
        </w:tc>
        <w:tc>
          <w:tcPr>
            <w:tcW w:w="1250" w:type="dxa"/>
            <w:vMerge w:val="continue"/>
          </w:tcPr>
          <w:p w14:paraId="4E5BF2D8">
            <w:pPr>
              <w:rPr>
                <w:rFonts w:hint="eastAsia" w:ascii="仿宋_GB2312" w:hAnsi="仿宋_GB2312" w:eastAsia="仿宋_GB2312" w:cs="仿宋_GB2312"/>
                <w:sz w:val="21"/>
                <w:szCs w:val="21"/>
                <w:vertAlign w:val="baseline"/>
                <w:lang w:val="en-US" w:eastAsia="zh-CN"/>
              </w:rPr>
            </w:pPr>
          </w:p>
        </w:tc>
        <w:tc>
          <w:tcPr>
            <w:tcW w:w="2100" w:type="dxa"/>
            <w:vMerge w:val="continue"/>
          </w:tcPr>
          <w:p w14:paraId="6D090C2F">
            <w:pPr>
              <w:rPr>
                <w:rFonts w:hint="eastAsia" w:ascii="仿宋_GB2312" w:hAnsi="仿宋_GB2312" w:eastAsia="仿宋_GB2312" w:cs="仿宋_GB2312"/>
                <w:sz w:val="21"/>
                <w:szCs w:val="21"/>
                <w:vertAlign w:val="baseline"/>
                <w:lang w:val="en-US" w:eastAsia="zh-CN"/>
              </w:rPr>
            </w:pPr>
          </w:p>
        </w:tc>
        <w:tc>
          <w:tcPr>
            <w:tcW w:w="1375" w:type="dxa"/>
            <w:vAlign w:val="center"/>
          </w:tcPr>
          <w:p w14:paraId="6BF5312F">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4137" w:type="dxa"/>
            <w:vAlign w:val="center"/>
          </w:tcPr>
          <w:p w14:paraId="0DB8AEA3">
            <w:pPr>
              <w:rPr>
                <w:rFonts w:hint="eastAsia" w:ascii="仿宋_GB2312" w:hAnsi="仿宋_GB2312" w:eastAsia="仿宋_GB2312" w:cs="仿宋_GB2312"/>
                <w:sz w:val="21"/>
                <w:szCs w:val="21"/>
                <w:vertAlign w:val="baseline"/>
                <w:lang w:val="en-US" w:eastAsia="zh-CN"/>
              </w:rPr>
            </w:pPr>
            <w:r>
              <w:rPr>
                <w:rFonts w:hint="eastAsia" w:ascii="宋体" w:cs="宋体"/>
                <w:kern w:val="0"/>
                <w:sz w:val="18"/>
                <w:szCs w:val="18"/>
              </w:rPr>
              <w:t>总建筑面积五万平方米以上的非劳动密集型生产车间、库房</w:t>
            </w:r>
          </w:p>
        </w:tc>
        <w:tc>
          <w:tcPr>
            <w:tcW w:w="1206" w:type="dxa"/>
            <w:vAlign w:val="center"/>
          </w:tcPr>
          <w:p w14:paraId="163E3FA6">
            <w:pPr>
              <w:spacing w:line="320" w:lineRule="exact"/>
              <w:rPr>
                <w:rFonts w:hint="eastAsia" w:ascii="仿宋_GB2312" w:hAnsi="仿宋_GB2312" w:eastAsia="仿宋_GB2312" w:cs="仿宋_GB2312"/>
                <w:sz w:val="21"/>
                <w:szCs w:val="21"/>
                <w:vertAlign w:val="baseline"/>
                <w:lang w:val="en-US" w:eastAsia="zh-CN"/>
              </w:rPr>
            </w:pPr>
            <w:r>
              <w:rPr>
                <w:rFonts w:hint="eastAsia" w:ascii="宋体" w:cs="宋体"/>
                <w:kern w:val="0"/>
                <w:sz w:val="18"/>
                <w:szCs w:val="18"/>
              </w:rPr>
              <w:t>责令停止施工、停止使用或者停产停业</w:t>
            </w:r>
            <w:r>
              <w:rPr>
                <w:rFonts w:hint="eastAsia" w:ascii="宋体" w:cs="宋体"/>
                <w:kern w:val="0"/>
                <w:sz w:val="18"/>
                <w:szCs w:val="18"/>
                <w:lang w:eastAsia="zh-CN"/>
              </w:rPr>
              <w:t>，</w:t>
            </w:r>
            <w:r>
              <w:rPr>
                <w:rFonts w:hint="eastAsia" w:ascii="宋体" w:cs="宋体"/>
                <w:kern w:val="0"/>
                <w:sz w:val="18"/>
                <w:szCs w:val="18"/>
                <w:lang w:val="en-US" w:eastAsia="zh-CN"/>
              </w:rPr>
              <w:t>并</w:t>
            </w:r>
            <w:r>
              <w:rPr>
                <w:rFonts w:hint="eastAsia" w:ascii="宋体" w:cs="宋体"/>
                <w:kern w:val="0"/>
                <w:sz w:val="18"/>
                <w:szCs w:val="18"/>
              </w:rPr>
              <w:t>处二十万元以上三十万元以下罚款</w:t>
            </w:r>
          </w:p>
        </w:tc>
        <w:tc>
          <w:tcPr>
            <w:tcW w:w="1212" w:type="dxa"/>
            <w:vMerge w:val="continue"/>
          </w:tcPr>
          <w:p w14:paraId="09628A1E">
            <w:pPr>
              <w:rPr>
                <w:rFonts w:hint="eastAsia" w:ascii="仿宋_GB2312" w:hAnsi="仿宋_GB2312" w:eastAsia="仿宋_GB2312" w:cs="仿宋_GB2312"/>
                <w:sz w:val="21"/>
                <w:szCs w:val="21"/>
                <w:vertAlign w:val="baseline"/>
                <w:lang w:val="en-US" w:eastAsia="zh-CN"/>
              </w:rPr>
            </w:pPr>
          </w:p>
        </w:tc>
        <w:tc>
          <w:tcPr>
            <w:tcW w:w="1226" w:type="dxa"/>
            <w:vMerge w:val="continue"/>
          </w:tcPr>
          <w:p w14:paraId="0EEFE8E6">
            <w:pPr>
              <w:rPr>
                <w:rFonts w:hint="eastAsia" w:ascii="仿宋_GB2312" w:hAnsi="仿宋_GB2312" w:eastAsia="仿宋_GB2312" w:cs="仿宋_GB2312"/>
                <w:sz w:val="21"/>
                <w:szCs w:val="21"/>
                <w:vertAlign w:val="baseline"/>
                <w:lang w:val="en-US" w:eastAsia="zh-CN"/>
              </w:rPr>
            </w:pPr>
          </w:p>
        </w:tc>
      </w:tr>
    </w:tbl>
    <w:p w14:paraId="181F70AF">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p>
    <w:p w14:paraId="36FD7F8A">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p>
    <w:p w14:paraId="2D6EB00B">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288"/>
        <w:gridCol w:w="1868"/>
        <w:gridCol w:w="1775"/>
        <w:gridCol w:w="2525"/>
        <w:gridCol w:w="2237"/>
        <w:gridCol w:w="1425"/>
        <w:gridCol w:w="1376"/>
      </w:tblGrid>
      <w:tr w14:paraId="2C2FA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vAlign w:val="center"/>
          </w:tcPr>
          <w:p w14:paraId="57C293EA">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288" w:type="dxa"/>
            <w:vAlign w:val="center"/>
          </w:tcPr>
          <w:p w14:paraId="2A0FB71A">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1868" w:type="dxa"/>
            <w:vAlign w:val="center"/>
          </w:tcPr>
          <w:p w14:paraId="6D3BEDF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775" w:type="dxa"/>
            <w:vAlign w:val="center"/>
          </w:tcPr>
          <w:p w14:paraId="7D2EE558">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2525" w:type="dxa"/>
            <w:vAlign w:val="center"/>
          </w:tcPr>
          <w:p w14:paraId="1F53CA5E">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2237" w:type="dxa"/>
            <w:vAlign w:val="center"/>
          </w:tcPr>
          <w:p w14:paraId="69DD7BF8">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1425" w:type="dxa"/>
            <w:vAlign w:val="center"/>
          </w:tcPr>
          <w:p w14:paraId="74684EEB">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376" w:type="dxa"/>
            <w:vAlign w:val="center"/>
          </w:tcPr>
          <w:p w14:paraId="6F7D6FB4">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w:t>
            </w:r>
          </w:p>
          <w:p w14:paraId="0802DFA8">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处罚层级</w:t>
            </w:r>
          </w:p>
        </w:tc>
      </w:tr>
      <w:tr w14:paraId="3CC7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7A5B7588">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48C7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022" w:type="dxa"/>
            <w:vMerge w:val="restart"/>
          </w:tcPr>
          <w:p w14:paraId="7E1C0852">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2403004</w:t>
            </w:r>
          </w:p>
        </w:tc>
        <w:tc>
          <w:tcPr>
            <w:tcW w:w="1288" w:type="dxa"/>
            <w:vMerge w:val="restart"/>
          </w:tcPr>
          <w:p w14:paraId="125946E6">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建设单位未依照本法规定在验收后报住房和城乡建设主管部门备案的</w:t>
            </w:r>
          </w:p>
        </w:tc>
        <w:tc>
          <w:tcPr>
            <w:tcW w:w="1868" w:type="dxa"/>
            <w:vMerge w:val="restart"/>
          </w:tcPr>
          <w:p w14:paraId="1DDF3B6E">
            <w:pPr>
              <w:widowControl/>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kern w:val="0"/>
                <w:szCs w:val="21"/>
              </w:rPr>
              <w:t>《中华人民共和国消防法》第五十八条第</w:t>
            </w:r>
            <w:r>
              <w:rPr>
                <w:rFonts w:hint="eastAsia" w:ascii="宋体" w:hAnsi="宋体" w:cs="宋体"/>
                <w:color w:val="000000"/>
                <w:kern w:val="0"/>
                <w:szCs w:val="21"/>
                <w:lang w:val="en-US" w:eastAsia="zh-CN"/>
              </w:rPr>
              <w:t>三</w:t>
            </w:r>
            <w:r>
              <w:rPr>
                <w:rFonts w:hint="eastAsia" w:ascii="宋体" w:hAnsi="宋体" w:cs="宋体"/>
                <w:color w:val="000000"/>
                <w:kern w:val="0"/>
                <w:szCs w:val="21"/>
              </w:rPr>
              <w:t>款</w:t>
            </w:r>
            <w:r>
              <w:rPr>
                <w:rFonts w:hint="eastAsia" w:ascii="宋体" w:hAnsi="宋体" w:cs="宋体"/>
                <w:color w:val="000000"/>
                <w:kern w:val="0"/>
                <w:szCs w:val="21"/>
                <w:lang w:val="en-US" w:eastAsia="zh-CN"/>
              </w:rPr>
              <w:t xml:space="preserve"> </w:t>
            </w:r>
            <w:bookmarkStart w:id="0" w:name="_GoBack"/>
            <w:bookmarkEnd w:id="0"/>
            <w:r>
              <w:rPr>
                <w:rFonts w:hint="eastAsia" w:ascii="宋体" w:hAnsi="宋体" w:cs="宋体"/>
                <w:color w:val="000000"/>
                <w:spacing w:val="8"/>
                <w:szCs w:val="21"/>
              </w:rPr>
              <w:t>建设单位未依照本法规定在验收后报住房和城乡建设主管部门备案的，由住房和城乡建设主管部门责令改正，处五千元以下罚款。</w:t>
            </w:r>
          </w:p>
        </w:tc>
        <w:tc>
          <w:tcPr>
            <w:tcW w:w="1775" w:type="dxa"/>
            <w:vAlign w:val="center"/>
          </w:tcPr>
          <w:p w14:paraId="32D3233E">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2525" w:type="dxa"/>
            <w:vAlign w:val="center"/>
          </w:tcPr>
          <w:p w14:paraId="1239A15F">
            <w:pPr>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rPr>
              <w:t>限期内改正的</w:t>
            </w:r>
          </w:p>
        </w:tc>
        <w:tc>
          <w:tcPr>
            <w:tcW w:w="2237" w:type="dxa"/>
            <w:vAlign w:val="center"/>
          </w:tcPr>
          <w:p w14:paraId="4D34120D">
            <w:pPr>
              <w:widowControl/>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处</w:t>
            </w:r>
            <w:r>
              <w:rPr>
                <w:rFonts w:hint="eastAsia" w:ascii="宋体" w:hAnsi="宋体" w:cs="宋体"/>
                <w:color w:val="000000"/>
                <w:spacing w:val="8"/>
                <w:szCs w:val="21"/>
                <w:lang w:val="en-US" w:eastAsia="zh-CN"/>
              </w:rPr>
              <w:t>1000</w:t>
            </w:r>
            <w:r>
              <w:rPr>
                <w:rFonts w:hint="eastAsia" w:ascii="宋体" w:hAnsi="宋体" w:cs="宋体"/>
                <w:color w:val="000000"/>
                <w:spacing w:val="8"/>
                <w:szCs w:val="21"/>
              </w:rPr>
              <w:t>元以下罚款</w:t>
            </w:r>
          </w:p>
        </w:tc>
        <w:tc>
          <w:tcPr>
            <w:tcW w:w="1425" w:type="dxa"/>
            <w:vMerge w:val="restart"/>
          </w:tcPr>
          <w:p w14:paraId="414E7654">
            <w:pPr>
              <w:rPr>
                <w:rFonts w:hint="eastAsia" w:ascii="仿宋_GB2312" w:hAnsi="仿宋_GB2312" w:eastAsia="仿宋_GB2312" w:cs="仿宋_GB2312"/>
                <w:b/>
                <w:bCs/>
                <w:sz w:val="21"/>
                <w:szCs w:val="21"/>
                <w:vertAlign w:val="baseline"/>
                <w:lang w:val="en-US" w:eastAsia="zh-CN"/>
              </w:rPr>
            </w:pPr>
          </w:p>
        </w:tc>
        <w:tc>
          <w:tcPr>
            <w:tcW w:w="1376" w:type="dxa"/>
            <w:vMerge w:val="restart"/>
          </w:tcPr>
          <w:p w14:paraId="2755FBB1">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val="en-US" w:eastAsia="zh-CN"/>
              </w:rPr>
              <w:t>省、市、县级</w:t>
            </w:r>
          </w:p>
        </w:tc>
      </w:tr>
      <w:tr w14:paraId="37AB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1022" w:type="dxa"/>
            <w:vMerge w:val="continue"/>
          </w:tcPr>
          <w:p w14:paraId="25D463EA">
            <w:pPr>
              <w:rPr>
                <w:rFonts w:hint="eastAsia" w:ascii="仿宋_GB2312" w:hAnsi="仿宋_GB2312" w:eastAsia="仿宋_GB2312" w:cs="仿宋_GB2312"/>
                <w:sz w:val="21"/>
                <w:szCs w:val="21"/>
                <w:vertAlign w:val="baseline"/>
                <w:lang w:val="en-US" w:eastAsia="zh-CN"/>
              </w:rPr>
            </w:pPr>
          </w:p>
        </w:tc>
        <w:tc>
          <w:tcPr>
            <w:tcW w:w="1288" w:type="dxa"/>
            <w:vMerge w:val="continue"/>
          </w:tcPr>
          <w:p w14:paraId="275B587A">
            <w:pPr>
              <w:rPr>
                <w:rFonts w:hint="eastAsia" w:ascii="仿宋_GB2312" w:hAnsi="仿宋_GB2312" w:eastAsia="仿宋_GB2312" w:cs="仿宋_GB2312"/>
                <w:sz w:val="21"/>
                <w:szCs w:val="21"/>
                <w:vertAlign w:val="baseline"/>
                <w:lang w:val="en-US" w:eastAsia="zh-CN"/>
              </w:rPr>
            </w:pPr>
          </w:p>
        </w:tc>
        <w:tc>
          <w:tcPr>
            <w:tcW w:w="1868" w:type="dxa"/>
            <w:vMerge w:val="continue"/>
          </w:tcPr>
          <w:p w14:paraId="2836822F">
            <w:pPr>
              <w:rPr>
                <w:rFonts w:hint="eastAsia" w:ascii="仿宋_GB2312" w:hAnsi="仿宋_GB2312" w:eastAsia="仿宋_GB2312" w:cs="仿宋_GB2312"/>
                <w:sz w:val="21"/>
                <w:szCs w:val="21"/>
                <w:vertAlign w:val="baseline"/>
                <w:lang w:val="en-US" w:eastAsia="zh-CN"/>
              </w:rPr>
            </w:pPr>
          </w:p>
        </w:tc>
        <w:tc>
          <w:tcPr>
            <w:tcW w:w="1775" w:type="dxa"/>
            <w:vAlign w:val="center"/>
          </w:tcPr>
          <w:p w14:paraId="67C1165A">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2525" w:type="dxa"/>
            <w:vAlign w:val="center"/>
          </w:tcPr>
          <w:p w14:paraId="3B126AAE">
            <w:pPr>
              <w:rPr>
                <w:rFonts w:hint="eastAsia" w:ascii="Times New Roman" w:hAnsi="Times New Roman"/>
                <w:kern w:val="0"/>
                <w:sz w:val="18"/>
                <w:szCs w:val="18"/>
              </w:rPr>
            </w:pPr>
            <w:r>
              <w:rPr>
                <w:rFonts w:hint="eastAsia" w:ascii="宋体" w:hAnsi="宋体" w:cs="宋体"/>
                <w:color w:val="000000"/>
              </w:rPr>
              <w:t>逾期少于10日改正的</w:t>
            </w:r>
          </w:p>
        </w:tc>
        <w:tc>
          <w:tcPr>
            <w:tcW w:w="2237" w:type="dxa"/>
            <w:vAlign w:val="center"/>
          </w:tcPr>
          <w:p w14:paraId="1774ACD6">
            <w:pPr>
              <w:widowControl/>
              <w:rPr>
                <w:rFonts w:hint="eastAsia" w:ascii="Times New Roman" w:hAnsi="Times New Roman"/>
                <w:kern w:val="0"/>
                <w:sz w:val="18"/>
                <w:szCs w:val="18"/>
              </w:rPr>
            </w:pPr>
            <w:r>
              <w:rPr>
                <w:rFonts w:hint="eastAsia" w:ascii="宋体" w:hAnsi="宋体" w:cs="宋体"/>
                <w:color w:val="000000"/>
                <w:spacing w:val="8"/>
                <w:szCs w:val="21"/>
              </w:rPr>
              <w:t>处</w:t>
            </w:r>
            <w:r>
              <w:rPr>
                <w:rFonts w:hint="eastAsia" w:ascii="宋体" w:hAnsi="宋体" w:cs="宋体"/>
                <w:color w:val="000000"/>
                <w:spacing w:val="8"/>
                <w:szCs w:val="21"/>
                <w:lang w:val="en-US" w:eastAsia="zh-CN"/>
              </w:rPr>
              <w:t>1000</w:t>
            </w:r>
            <w:r>
              <w:rPr>
                <w:rFonts w:hint="eastAsia" w:ascii="宋体" w:hAnsi="宋体" w:cs="宋体"/>
                <w:color w:val="000000"/>
                <w:spacing w:val="8"/>
                <w:szCs w:val="21"/>
              </w:rPr>
              <w:t>元以上</w:t>
            </w:r>
            <w:r>
              <w:rPr>
                <w:rFonts w:hint="eastAsia" w:ascii="宋体" w:hAnsi="宋体" w:cs="宋体"/>
                <w:color w:val="000000"/>
                <w:spacing w:val="8"/>
                <w:szCs w:val="21"/>
                <w:lang w:val="en-US" w:eastAsia="zh-CN"/>
              </w:rPr>
              <w:t>2000</w:t>
            </w:r>
            <w:r>
              <w:rPr>
                <w:rFonts w:hint="eastAsia" w:ascii="宋体" w:hAnsi="宋体" w:cs="宋体"/>
                <w:color w:val="000000"/>
                <w:spacing w:val="8"/>
                <w:szCs w:val="21"/>
              </w:rPr>
              <w:t>元以下罚款</w:t>
            </w:r>
          </w:p>
        </w:tc>
        <w:tc>
          <w:tcPr>
            <w:tcW w:w="1425" w:type="dxa"/>
            <w:vMerge w:val="continue"/>
          </w:tcPr>
          <w:p w14:paraId="16A97CA7">
            <w:pPr>
              <w:rPr>
                <w:rFonts w:hint="eastAsia" w:ascii="仿宋_GB2312" w:hAnsi="仿宋_GB2312" w:eastAsia="仿宋_GB2312" w:cs="仿宋_GB2312"/>
                <w:sz w:val="21"/>
                <w:szCs w:val="21"/>
                <w:vertAlign w:val="baseline"/>
                <w:lang w:val="en-US" w:eastAsia="zh-CN"/>
              </w:rPr>
            </w:pPr>
          </w:p>
        </w:tc>
        <w:tc>
          <w:tcPr>
            <w:tcW w:w="1376" w:type="dxa"/>
            <w:vMerge w:val="continue"/>
          </w:tcPr>
          <w:p w14:paraId="3847605D">
            <w:pPr>
              <w:rPr>
                <w:rFonts w:hint="eastAsia" w:ascii="仿宋_GB2312" w:hAnsi="仿宋_GB2312" w:eastAsia="仿宋_GB2312" w:cs="仿宋_GB2312"/>
                <w:sz w:val="21"/>
                <w:szCs w:val="21"/>
                <w:vertAlign w:val="baseline"/>
                <w:lang w:val="en-US" w:eastAsia="zh-CN"/>
              </w:rPr>
            </w:pPr>
          </w:p>
        </w:tc>
      </w:tr>
      <w:tr w14:paraId="2803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022" w:type="dxa"/>
            <w:vMerge w:val="continue"/>
          </w:tcPr>
          <w:p w14:paraId="174EE8BA">
            <w:pPr>
              <w:rPr>
                <w:rFonts w:hint="eastAsia" w:ascii="仿宋_GB2312" w:hAnsi="仿宋_GB2312" w:eastAsia="仿宋_GB2312" w:cs="仿宋_GB2312"/>
                <w:sz w:val="21"/>
                <w:szCs w:val="21"/>
                <w:vertAlign w:val="baseline"/>
                <w:lang w:val="en-US" w:eastAsia="zh-CN"/>
              </w:rPr>
            </w:pPr>
          </w:p>
        </w:tc>
        <w:tc>
          <w:tcPr>
            <w:tcW w:w="1288" w:type="dxa"/>
            <w:vMerge w:val="continue"/>
          </w:tcPr>
          <w:p w14:paraId="4B19A9A3">
            <w:pPr>
              <w:rPr>
                <w:rFonts w:hint="eastAsia" w:ascii="仿宋_GB2312" w:hAnsi="仿宋_GB2312" w:eastAsia="仿宋_GB2312" w:cs="仿宋_GB2312"/>
                <w:sz w:val="21"/>
                <w:szCs w:val="21"/>
                <w:vertAlign w:val="baseline"/>
                <w:lang w:val="en-US" w:eastAsia="zh-CN"/>
              </w:rPr>
            </w:pPr>
          </w:p>
        </w:tc>
        <w:tc>
          <w:tcPr>
            <w:tcW w:w="1868" w:type="dxa"/>
            <w:vMerge w:val="continue"/>
          </w:tcPr>
          <w:p w14:paraId="33B61D13">
            <w:pPr>
              <w:rPr>
                <w:rFonts w:hint="eastAsia" w:ascii="仿宋_GB2312" w:hAnsi="仿宋_GB2312" w:eastAsia="仿宋_GB2312" w:cs="仿宋_GB2312"/>
                <w:sz w:val="21"/>
                <w:szCs w:val="21"/>
                <w:vertAlign w:val="baseline"/>
                <w:lang w:val="en-US" w:eastAsia="zh-CN"/>
              </w:rPr>
            </w:pPr>
          </w:p>
        </w:tc>
        <w:tc>
          <w:tcPr>
            <w:tcW w:w="1775" w:type="dxa"/>
            <w:vMerge w:val="restart"/>
            <w:vAlign w:val="center"/>
          </w:tcPr>
          <w:p w14:paraId="6E88D8EA">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2525" w:type="dxa"/>
            <w:vAlign w:val="center"/>
          </w:tcPr>
          <w:p w14:paraId="389E5DA6">
            <w:pPr>
              <w:rPr>
                <w:rFonts w:hint="eastAsia" w:ascii="宋体" w:cs="宋体"/>
                <w:kern w:val="0"/>
                <w:sz w:val="18"/>
                <w:szCs w:val="18"/>
              </w:rPr>
            </w:pPr>
            <w:r>
              <w:rPr>
                <w:rFonts w:hint="eastAsia" w:ascii="宋体" w:hAnsi="宋体" w:cs="宋体"/>
                <w:color w:val="000000"/>
              </w:rPr>
              <w:t>逾期多于10日少于30日改正的</w:t>
            </w:r>
          </w:p>
        </w:tc>
        <w:tc>
          <w:tcPr>
            <w:tcW w:w="2237" w:type="dxa"/>
            <w:vAlign w:val="center"/>
          </w:tcPr>
          <w:p w14:paraId="2851EF2B">
            <w:pPr>
              <w:widowControl/>
              <w:rPr>
                <w:rFonts w:hint="eastAsia" w:ascii="宋体" w:cs="宋体"/>
                <w:kern w:val="0"/>
                <w:sz w:val="18"/>
                <w:szCs w:val="18"/>
              </w:rPr>
            </w:pPr>
            <w:r>
              <w:rPr>
                <w:rFonts w:hint="eastAsia" w:ascii="宋体" w:hAnsi="宋体" w:cs="宋体"/>
                <w:color w:val="000000"/>
                <w:spacing w:val="8"/>
                <w:szCs w:val="21"/>
              </w:rPr>
              <w:t>处</w:t>
            </w:r>
            <w:r>
              <w:rPr>
                <w:rFonts w:hint="eastAsia" w:ascii="宋体" w:hAnsi="宋体" w:cs="宋体"/>
                <w:color w:val="000000"/>
                <w:spacing w:val="8"/>
                <w:szCs w:val="21"/>
                <w:lang w:val="en-US" w:eastAsia="zh-CN"/>
              </w:rPr>
              <w:t>2000</w:t>
            </w:r>
            <w:r>
              <w:rPr>
                <w:rFonts w:hint="eastAsia" w:ascii="宋体" w:hAnsi="宋体" w:cs="宋体"/>
                <w:color w:val="000000"/>
                <w:spacing w:val="8"/>
                <w:szCs w:val="21"/>
              </w:rPr>
              <w:t>元以上</w:t>
            </w:r>
            <w:r>
              <w:rPr>
                <w:rFonts w:hint="eastAsia" w:ascii="宋体" w:hAnsi="宋体" w:cs="宋体"/>
                <w:color w:val="000000"/>
                <w:spacing w:val="8"/>
                <w:szCs w:val="21"/>
                <w:lang w:val="en-US" w:eastAsia="zh-CN"/>
              </w:rPr>
              <w:t>4000</w:t>
            </w:r>
            <w:r>
              <w:rPr>
                <w:rFonts w:hint="eastAsia" w:ascii="宋体" w:hAnsi="宋体" w:cs="宋体"/>
                <w:color w:val="000000"/>
                <w:spacing w:val="8"/>
                <w:szCs w:val="21"/>
              </w:rPr>
              <w:t>元以下罚款</w:t>
            </w:r>
          </w:p>
        </w:tc>
        <w:tc>
          <w:tcPr>
            <w:tcW w:w="1425" w:type="dxa"/>
            <w:vMerge w:val="continue"/>
          </w:tcPr>
          <w:p w14:paraId="5A6C035D">
            <w:pPr>
              <w:rPr>
                <w:rFonts w:hint="eastAsia" w:ascii="仿宋_GB2312" w:hAnsi="仿宋_GB2312" w:eastAsia="仿宋_GB2312" w:cs="仿宋_GB2312"/>
                <w:sz w:val="21"/>
                <w:szCs w:val="21"/>
                <w:vertAlign w:val="baseline"/>
                <w:lang w:val="en-US" w:eastAsia="zh-CN"/>
              </w:rPr>
            </w:pPr>
          </w:p>
        </w:tc>
        <w:tc>
          <w:tcPr>
            <w:tcW w:w="1376" w:type="dxa"/>
            <w:vMerge w:val="continue"/>
          </w:tcPr>
          <w:p w14:paraId="40FCF03C">
            <w:pPr>
              <w:rPr>
                <w:rFonts w:hint="eastAsia" w:ascii="仿宋_GB2312" w:hAnsi="仿宋_GB2312" w:eastAsia="仿宋_GB2312" w:cs="仿宋_GB2312"/>
                <w:sz w:val="21"/>
                <w:szCs w:val="21"/>
                <w:vertAlign w:val="baseline"/>
                <w:lang w:val="en-US" w:eastAsia="zh-CN"/>
              </w:rPr>
            </w:pPr>
          </w:p>
        </w:tc>
      </w:tr>
      <w:tr w14:paraId="1C0C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022" w:type="dxa"/>
            <w:vMerge w:val="continue"/>
          </w:tcPr>
          <w:p w14:paraId="7B2C4338">
            <w:pPr>
              <w:rPr>
                <w:rFonts w:hint="eastAsia" w:ascii="仿宋_GB2312" w:hAnsi="仿宋_GB2312" w:eastAsia="仿宋_GB2312" w:cs="仿宋_GB2312"/>
                <w:sz w:val="21"/>
                <w:szCs w:val="21"/>
                <w:vertAlign w:val="baseline"/>
                <w:lang w:val="en-US" w:eastAsia="zh-CN"/>
              </w:rPr>
            </w:pPr>
          </w:p>
        </w:tc>
        <w:tc>
          <w:tcPr>
            <w:tcW w:w="1288" w:type="dxa"/>
            <w:vMerge w:val="continue"/>
          </w:tcPr>
          <w:p w14:paraId="0D8085FF">
            <w:pPr>
              <w:rPr>
                <w:rFonts w:hint="eastAsia" w:ascii="仿宋_GB2312" w:hAnsi="仿宋_GB2312" w:eastAsia="仿宋_GB2312" w:cs="仿宋_GB2312"/>
                <w:sz w:val="21"/>
                <w:szCs w:val="21"/>
                <w:vertAlign w:val="baseline"/>
                <w:lang w:val="en-US" w:eastAsia="zh-CN"/>
              </w:rPr>
            </w:pPr>
          </w:p>
        </w:tc>
        <w:tc>
          <w:tcPr>
            <w:tcW w:w="1868" w:type="dxa"/>
            <w:vMerge w:val="continue"/>
          </w:tcPr>
          <w:p w14:paraId="79987A83">
            <w:pPr>
              <w:rPr>
                <w:rFonts w:hint="eastAsia" w:ascii="仿宋_GB2312" w:hAnsi="仿宋_GB2312" w:eastAsia="仿宋_GB2312" w:cs="仿宋_GB2312"/>
                <w:sz w:val="21"/>
                <w:szCs w:val="21"/>
                <w:vertAlign w:val="baseline"/>
                <w:lang w:val="en-US" w:eastAsia="zh-CN"/>
              </w:rPr>
            </w:pPr>
          </w:p>
        </w:tc>
        <w:tc>
          <w:tcPr>
            <w:tcW w:w="1775" w:type="dxa"/>
            <w:vMerge w:val="continue"/>
            <w:vAlign w:val="center"/>
          </w:tcPr>
          <w:p w14:paraId="6177635E">
            <w:pPr>
              <w:jc w:val="center"/>
              <w:rPr>
                <w:rFonts w:hint="default" w:ascii="楷体_GB2312" w:hAnsi="楷体_GB2312" w:eastAsia="楷体_GB2312" w:cs="楷体_GB2312"/>
                <w:sz w:val="21"/>
                <w:szCs w:val="21"/>
                <w:vertAlign w:val="baseline"/>
                <w:lang w:val="en-US" w:eastAsia="zh-CN"/>
              </w:rPr>
            </w:pPr>
          </w:p>
        </w:tc>
        <w:tc>
          <w:tcPr>
            <w:tcW w:w="2525" w:type="dxa"/>
            <w:vAlign w:val="center"/>
          </w:tcPr>
          <w:p w14:paraId="44980F32">
            <w:pPr>
              <w:rPr>
                <w:rFonts w:hint="eastAsia" w:ascii="仿宋_GB2312" w:hAnsi="仿宋_GB2312" w:eastAsia="仿宋_GB2312" w:cs="仿宋_GB2312"/>
                <w:sz w:val="21"/>
                <w:szCs w:val="21"/>
                <w:vertAlign w:val="baseline"/>
                <w:lang w:val="en-US" w:eastAsia="zh-CN"/>
              </w:rPr>
            </w:pPr>
            <w:r>
              <w:rPr>
                <w:rFonts w:hint="eastAsia" w:ascii="宋体" w:hAnsi="宋体" w:cs="宋体"/>
                <w:color w:val="000000"/>
              </w:rPr>
              <w:t>逾期多于30日改正或未改正的</w:t>
            </w:r>
          </w:p>
        </w:tc>
        <w:tc>
          <w:tcPr>
            <w:tcW w:w="2237" w:type="dxa"/>
            <w:vAlign w:val="center"/>
          </w:tcPr>
          <w:p w14:paraId="57468266">
            <w:pPr>
              <w:widowControl/>
              <w:rPr>
                <w:rFonts w:hint="eastAsia" w:ascii="仿宋_GB2312" w:hAnsi="仿宋_GB2312" w:eastAsia="仿宋_GB2312" w:cs="仿宋_GB2312"/>
                <w:sz w:val="21"/>
                <w:szCs w:val="21"/>
                <w:vertAlign w:val="baseline"/>
                <w:lang w:val="en-US" w:eastAsia="zh-CN"/>
              </w:rPr>
            </w:pPr>
            <w:r>
              <w:rPr>
                <w:rFonts w:hint="eastAsia" w:ascii="宋体" w:hAnsi="宋体" w:cs="宋体"/>
                <w:color w:val="000000"/>
                <w:spacing w:val="8"/>
                <w:szCs w:val="21"/>
              </w:rPr>
              <w:t>处</w:t>
            </w:r>
            <w:r>
              <w:rPr>
                <w:rFonts w:hint="eastAsia" w:ascii="宋体" w:hAnsi="宋体" w:cs="宋体"/>
                <w:color w:val="000000"/>
                <w:spacing w:val="8"/>
                <w:szCs w:val="21"/>
                <w:lang w:val="en-US" w:eastAsia="zh-CN"/>
              </w:rPr>
              <w:t>4000</w:t>
            </w:r>
            <w:r>
              <w:rPr>
                <w:rFonts w:hint="eastAsia" w:ascii="宋体" w:hAnsi="宋体" w:cs="宋体"/>
                <w:color w:val="000000"/>
                <w:spacing w:val="8"/>
                <w:szCs w:val="21"/>
              </w:rPr>
              <w:t>元以上</w:t>
            </w:r>
            <w:r>
              <w:rPr>
                <w:rFonts w:hint="eastAsia" w:ascii="宋体" w:hAnsi="宋体" w:cs="宋体"/>
                <w:color w:val="000000"/>
                <w:spacing w:val="8"/>
                <w:szCs w:val="21"/>
                <w:lang w:val="en-US" w:eastAsia="zh-CN"/>
              </w:rPr>
              <w:t>5000</w:t>
            </w:r>
            <w:r>
              <w:rPr>
                <w:rFonts w:hint="eastAsia" w:ascii="宋体" w:hAnsi="宋体" w:cs="宋体"/>
                <w:color w:val="000000"/>
                <w:spacing w:val="8"/>
                <w:szCs w:val="21"/>
              </w:rPr>
              <w:t>元以下罚款</w:t>
            </w:r>
          </w:p>
        </w:tc>
        <w:tc>
          <w:tcPr>
            <w:tcW w:w="1425" w:type="dxa"/>
            <w:vMerge w:val="continue"/>
          </w:tcPr>
          <w:p w14:paraId="797D6251">
            <w:pPr>
              <w:rPr>
                <w:rFonts w:hint="eastAsia" w:ascii="仿宋_GB2312" w:hAnsi="仿宋_GB2312" w:eastAsia="仿宋_GB2312" w:cs="仿宋_GB2312"/>
                <w:sz w:val="21"/>
                <w:szCs w:val="21"/>
                <w:vertAlign w:val="baseline"/>
                <w:lang w:val="en-US" w:eastAsia="zh-CN"/>
              </w:rPr>
            </w:pPr>
          </w:p>
        </w:tc>
        <w:tc>
          <w:tcPr>
            <w:tcW w:w="1376" w:type="dxa"/>
            <w:vMerge w:val="continue"/>
          </w:tcPr>
          <w:p w14:paraId="6C3E9633">
            <w:pPr>
              <w:rPr>
                <w:rFonts w:hint="eastAsia" w:ascii="仿宋_GB2312" w:hAnsi="仿宋_GB2312" w:eastAsia="仿宋_GB2312" w:cs="仿宋_GB2312"/>
                <w:sz w:val="21"/>
                <w:szCs w:val="21"/>
                <w:vertAlign w:val="baseline"/>
                <w:lang w:val="en-US" w:eastAsia="zh-CN"/>
              </w:rPr>
            </w:pPr>
          </w:p>
        </w:tc>
      </w:tr>
    </w:tbl>
    <w:p w14:paraId="006E97F9">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63"/>
        <w:gridCol w:w="2340"/>
        <w:gridCol w:w="1365"/>
        <w:gridCol w:w="3239"/>
        <w:gridCol w:w="1846"/>
        <w:gridCol w:w="903"/>
        <w:gridCol w:w="1213"/>
      </w:tblGrid>
      <w:tr w14:paraId="79BD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vAlign w:val="center"/>
          </w:tcPr>
          <w:p w14:paraId="488149F9">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563" w:type="dxa"/>
            <w:vAlign w:val="center"/>
          </w:tcPr>
          <w:p w14:paraId="39B7D7C4">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2340" w:type="dxa"/>
            <w:vAlign w:val="center"/>
          </w:tcPr>
          <w:p w14:paraId="4D0B75C3">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365" w:type="dxa"/>
            <w:vAlign w:val="center"/>
          </w:tcPr>
          <w:p w14:paraId="7F26E2DE">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3239" w:type="dxa"/>
            <w:vAlign w:val="center"/>
          </w:tcPr>
          <w:p w14:paraId="011F761A">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1846" w:type="dxa"/>
            <w:vAlign w:val="center"/>
          </w:tcPr>
          <w:p w14:paraId="6B7F305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903" w:type="dxa"/>
            <w:vAlign w:val="center"/>
          </w:tcPr>
          <w:p w14:paraId="06CDC10A">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213" w:type="dxa"/>
            <w:vAlign w:val="center"/>
          </w:tcPr>
          <w:p w14:paraId="7D3C5B4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建议实施处罚层级</w:t>
            </w:r>
          </w:p>
        </w:tc>
      </w:tr>
      <w:tr w14:paraId="65CF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15ADC071">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239D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5" w:hRule="atLeast"/>
        </w:trPr>
        <w:tc>
          <w:tcPr>
            <w:tcW w:w="1047" w:type="dxa"/>
            <w:vMerge w:val="restart"/>
          </w:tcPr>
          <w:p w14:paraId="690A61FB">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2403005</w:t>
            </w:r>
          </w:p>
        </w:tc>
        <w:tc>
          <w:tcPr>
            <w:tcW w:w="1563" w:type="dxa"/>
            <w:vMerge w:val="restart"/>
          </w:tcPr>
          <w:p w14:paraId="2CAF9460">
            <w:pPr>
              <w:spacing w:line="320" w:lineRule="exact"/>
              <w:rPr>
                <w:rFonts w:hint="eastAsia" w:ascii="仿宋_GB2312" w:hAnsi="仿宋_GB2312" w:cs="仿宋_GB2312" w:eastAsiaTheme="minorEastAsia"/>
                <w:b/>
                <w:bCs/>
                <w:sz w:val="21"/>
                <w:szCs w:val="21"/>
                <w:vertAlign w:val="baseline"/>
                <w:lang w:val="en-US" w:eastAsia="zh-CN"/>
              </w:rPr>
            </w:pPr>
            <w:r>
              <w:rPr>
                <w:rFonts w:hint="eastAsia" w:ascii="宋体" w:hAnsi="宋体" w:cs="宋体"/>
                <w:color w:val="000000"/>
                <w:spacing w:val="8"/>
                <w:szCs w:val="21"/>
              </w:rPr>
              <w:t>建设单位要求建筑设计单位或者建筑施工企业降低消防技术标准设计、施工</w:t>
            </w:r>
            <w:r>
              <w:rPr>
                <w:rFonts w:hint="eastAsia" w:ascii="宋体" w:hAnsi="宋体" w:cs="宋体"/>
                <w:color w:val="000000"/>
                <w:spacing w:val="8"/>
                <w:szCs w:val="21"/>
                <w:lang w:eastAsia="zh-CN"/>
              </w:rPr>
              <w:t>的</w:t>
            </w:r>
          </w:p>
        </w:tc>
        <w:tc>
          <w:tcPr>
            <w:tcW w:w="2340" w:type="dxa"/>
            <w:vMerge w:val="restart"/>
          </w:tcPr>
          <w:p w14:paraId="4A34136F">
            <w:pPr>
              <w:rPr>
                <w:rFonts w:hint="eastAsia" w:ascii="宋体" w:hAnsi="宋体" w:cs="宋体"/>
                <w:color w:val="000000"/>
                <w:spacing w:val="8"/>
                <w:szCs w:val="21"/>
              </w:rPr>
            </w:pPr>
            <w:r>
              <w:rPr>
                <w:rFonts w:hint="eastAsia" w:ascii="宋体" w:hAnsi="宋体" w:cs="宋体"/>
                <w:color w:val="000000"/>
                <w:kern w:val="0"/>
                <w:szCs w:val="21"/>
              </w:rPr>
              <w:t>《中华人民共和国消防法》第五十九条第(一)项</w:t>
            </w:r>
          </w:p>
          <w:p w14:paraId="7CF14BF9">
            <w:pPr>
              <w:rPr>
                <w:rFonts w:hint="eastAsia" w:ascii="宋体" w:hAnsi="宋体" w:cs="宋体"/>
                <w:color w:val="000000"/>
                <w:spacing w:val="8"/>
                <w:szCs w:val="21"/>
              </w:rPr>
            </w:pPr>
            <w:r>
              <w:rPr>
                <w:rFonts w:hint="eastAsia" w:ascii="宋体" w:hAnsi="宋体" w:cs="宋体"/>
                <w:color w:val="000000"/>
                <w:spacing w:val="8"/>
                <w:szCs w:val="21"/>
              </w:rPr>
              <w:t>违反本法规定，有下列行为之一的，由住房和城乡建设主管部门责令改正或者停止施工，并处一万元以上十万元以下罚款：</w:t>
            </w:r>
          </w:p>
          <w:p w14:paraId="74E28416">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（一）建设单位要求建筑设计单位或者建筑施工企业降低消防技术标准设计、施工的；</w:t>
            </w:r>
          </w:p>
        </w:tc>
        <w:tc>
          <w:tcPr>
            <w:tcW w:w="1365" w:type="dxa"/>
            <w:vAlign w:val="center"/>
          </w:tcPr>
          <w:p w14:paraId="7CAEC337">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3239" w:type="dxa"/>
            <w:vAlign w:val="center"/>
          </w:tcPr>
          <w:p w14:paraId="3593050D">
            <w:pPr>
              <w:rPr>
                <w:rFonts w:hint="eastAsia" w:ascii="宋体" w:hAnsi="宋体" w:cs="宋体"/>
                <w:color w:val="000000"/>
                <w:spacing w:val="8"/>
                <w:szCs w:val="21"/>
                <w:lang w:val="en-US" w:eastAsia="zh-CN"/>
              </w:rPr>
            </w:pPr>
            <w:r>
              <w:rPr>
                <w:rFonts w:hint="eastAsia" w:ascii="宋体" w:hAnsi="宋体" w:cs="宋体"/>
                <w:color w:val="000000"/>
                <w:spacing w:val="8"/>
                <w:szCs w:val="21"/>
              </w:rPr>
              <w:t>违反国家工程建设消防技术标准强制性条文（以下简称强制性条文）二条以下，或者违反国家工程建设消防技术标准中带有“严禁</w:t>
            </w:r>
            <w:r>
              <w:rPr>
                <w:rFonts w:hint="eastAsia" w:ascii="宋体" w:hAnsi="宋体" w:cs="宋体"/>
                <w:color w:val="000000"/>
                <w:spacing w:val="8"/>
                <w:szCs w:val="21"/>
                <w:lang w:eastAsia="zh-CN"/>
              </w:rPr>
              <w:t>”“</w:t>
            </w:r>
            <w:r>
              <w:rPr>
                <w:rFonts w:hint="eastAsia" w:ascii="宋体" w:hAnsi="宋体" w:cs="宋体"/>
                <w:color w:val="000000"/>
                <w:spacing w:val="8"/>
                <w:szCs w:val="21"/>
              </w:rPr>
              <w:t>必须”“应”“不应”“不得”要求的非强制性条文（以下简称非强制性条文）四条以下</w:t>
            </w:r>
            <w:r>
              <w:rPr>
                <w:rFonts w:hint="eastAsia" w:ascii="宋体" w:hAnsi="宋体" w:cs="宋体"/>
                <w:color w:val="000000"/>
                <w:spacing w:val="8"/>
                <w:szCs w:val="21"/>
                <w:lang w:eastAsia="zh-CN"/>
              </w:rPr>
              <w:t>，</w:t>
            </w:r>
            <w:r>
              <w:rPr>
                <w:rFonts w:hint="eastAsia" w:ascii="宋体" w:hAnsi="宋体" w:cs="宋体"/>
                <w:color w:val="000000"/>
                <w:spacing w:val="8"/>
                <w:szCs w:val="21"/>
              </w:rPr>
              <w:t>或者违反强制条文和非强制条文共四条以下的</w:t>
            </w:r>
          </w:p>
        </w:tc>
        <w:tc>
          <w:tcPr>
            <w:tcW w:w="1846" w:type="dxa"/>
            <w:vAlign w:val="center"/>
          </w:tcPr>
          <w:p w14:paraId="09BE381D">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w:t>
            </w:r>
            <w:r>
              <w:rPr>
                <w:rFonts w:hint="eastAsia" w:ascii="宋体" w:hAnsi="宋体" w:cs="宋体"/>
                <w:color w:val="000000"/>
                <w:spacing w:val="8"/>
                <w:szCs w:val="21"/>
                <w:lang w:val="en-US" w:eastAsia="zh-CN"/>
              </w:rPr>
              <w:t>并</w:t>
            </w:r>
            <w:r>
              <w:rPr>
                <w:rFonts w:hint="eastAsia" w:ascii="宋体" w:hAnsi="宋体" w:cs="宋体"/>
                <w:color w:val="000000"/>
                <w:spacing w:val="8"/>
                <w:szCs w:val="21"/>
              </w:rPr>
              <w:t>处一万元以上三万元以下罚款</w:t>
            </w:r>
          </w:p>
        </w:tc>
        <w:tc>
          <w:tcPr>
            <w:tcW w:w="903" w:type="dxa"/>
            <w:vMerge w:val="restart"/>
          </w:tcPr>
          <w:p w14:paraId="38EA6A72">
            <w:pPr>
              <w:rPr>
                <w:rFonts w:hint="eastAsia" w:ascii="仿宋_GB2312" w:hAnsi="仿宋_GB2312" w:eastAsia="仿宋_GB2312" w:cs="仿宋_GB2312"/>
                <w:b/>
                <w:bCs/>
                <w:sz w:val="21"/>
                <w:szCs w:val="21"/>
                <w:vertAlign w:val="baseline"/>
                <w:lang w:val="en-US" w:eastAsia="zh-CN"/>
              </w:rPr>
            </w:pPr>
          </w:p>
        </w:tc>
        <w:tc>
          <w:tcPr>
            <w:tcW w:w="1213" w:type="dxa"/>
            <w:vMerge w:val="restart"/>
          </w:tcPr>
          <w:p w14:paraId="03B1EF40">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val="en-US" w:eastAsia="zh-CN"/>
              </w:rPr>
              <w:t>省、市、县级</w:t>
            </w:r>
          </w:p>
        </w:tc>
      </w:tr>
      <w:tr w14:paraId="1445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047" w:type="dxa"/>
            <w:vMerge w:val="continue"/>
          </w:tcPr>
          <w:p w14:paraId="20A9B8EC">
            <w:pPr>
              <w:rPr>
                <w:rFonts w:hint="eastAsia" w:ascii="仿宋_GB2312" w:hAnsi="仿宋_GB2312" w:eastAsia="仿宋_GB2312" w:cs="仿宋_GB2312"/>
                <w:sz w:val="21"/>
                <w:szCs w:val="21"/>
                <w:vertAlign w:val="baseline"/>
                <w:lang w:val="en-US" w:eastAsia="zh-CN"/>
              </w:rPr>
            </w:pPr>
          </w:p>
        </w:tc>
        <w:tc>
          <w:tcPr>
            <w:tcW w:w="1563" w:type="dxa"/>
            <w:vMerge w:val="continue"/>
          </w:tcPr>
          <w:p w14:paraId="4098A2D3">
            <w:pPr>
              <w:rPr>
                <w:rFonts w:hint="eastAsia" w:ascii="仿宋_GB2312" w:hAnsi="仿宋_GB2312" w:eastAsia="仿宋_GB2312" w:cs="仿宋_GB2312"/>
                <w:sz w:val="21"/>
                <w:szCs w:val="21"/>
                <w:vertAlign w:val="baseline"/>
                <w:lang w:val="en-US" w:eastAsia="zh-CN"/>
              </w:rPr>
            </w:pPr>
          </w:p>
        </w:tc>
        <w:tc>
          <w:tcPr>
            <w:tcW w:w="2340" w:type="dxa"/>
            <w:vMerge w:val="continue"/>
          </w:tcPr>
          <w:p w14:paraId="65A2A0CB">
            <w:pPr>
              <w:rPr>
                <w:rFonts w:hint="eastAsia" w:ascii="仿宋_GB2312" w:hAnsi="仿宋_GB2312" w:eastAsia="仿宋_GB2312" w:cs="仿宋_GB2312"/>
                <w:sz w:val="21"/>
                <w:szCs w:val="21"/>
                <w:vertAlign w:val="baseline"/>
                <w:lang w:val="en-US" w:eastAsia="zh-CN"/>
              </w:rPr>
            </w:pPr>
          </w:p>
        </w:tc>
        <w:tc>
          <w:tcPr>
            <w:tcW w:w="1365" w:type="dxa"/>
            <w:vAlign w:val="center"/>
          </w:tcPr>
          <w:p w14:paraId="451F736F">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3239" w:type="dxa"/>
            <w:vAlign w:val="center"/>
          </w:tcPr>
          <w:p w14:paraId="432D1335">
            <w:pPr>
              <w:rPr>
                <w:rFonts w:hint="eastAsia" w:ascii="宋体" w:hAnsi="宋体" w:cs="宋体"/>
                <w:color w:val="000000"/>
                <w:spacing w:val="8"/>
                <w:szCs w:val="21"/>
              </w:rPr>
            </w:pPr>
            <w:r>
              <w:rPr>
                <w:rFonts w:hint="eastAsia" w:ascii="宋体" w:hAnsi="宋体" w:cs="宋体"/>
                <w:color w:val="000000"/>
                <w:spacing w:val="8"/>
                <w:szCs w:val="21"/>
              </w:rPr>
              <w:t>违反强制性条文</w:t>
            </w:r>
            <w:r>
              <w:rPr>
                <w:rFonts w:hint="eastAsia" w:ascii="宋体" w:hAnsi="宋体" w:cs="宋体"/>
                <w:color w:val="000000"/>
                <w:spacing w:val="8"/>
                <w:szCs w:val="21"/>
                <w:lang w:eastAsia="zh-CN"/>
              </w:rPr>
              <w:t>两条以上</w:t>
            </w:r>
            <w:r>
              <w:rPr>
                <w:rFonts w:hint="eastAsia" w:ascii="宋体" w:hAnsi="宋体" w:cs="宋体"/>
                <w:color w:val="000000"/>
                <w:spacing w:val="8"/>
                <w:szCs w:val="21"/>
              </w:rPr>
              <w:t>五条以下，或者违反非强制性条文不合格项四条以上八条以下的，或者违反强制条文和非强制条文共四条以上八条以下的</w:t>
            </w:r>
          </w:p>
        </w:tc>
        <w:tc>
          <w:tcPr>
            <w:tcW w:w="1846" w:type="dxa"/>
            <w:vAlign w:val="center"/>
          </w:tcPr>
          <w:p w14:paraId="64940155">
            <w:pPr>
              <w:rPr>
                <w:rFonts w:hint="eastAsia" w:ascii="宋体" w:hAnsi="宋体" w:cs="宋体"/>
                <w:color w:val="000000"/>
                <w:spacing w:val="8"/>
                <w:szCs w:val="21"/>
              </w:rPr>
            </w:pPr>
            <w:r>
              <w:rPr>
                <w:rFonts w:hint="eastAsia" w:ascii="宋体" w:hAnsi="宋体" w:cs="宋体"/>
                <w:color w:val="000000"/>
                <w:spacing w:val="8"/>
                <w:szCs w:val="21"/>
              </w:rPr>
              <w:t>责令改正或者停止施工，</w:t>
            </w:r>
            <w:r>
              <w:rPr>
                <w:rFonts w:hint="eastAsia" w:ascii="宋体" w:hAnsi="宋体" w:cs="宋体"/>
                <w:color w:val="000000"/>
                <w:spacing w:val="8"/>
                <w:szCs w:val="21"/>
                <w:lang w:val="en-US" w:eastAsia="zh-CN"/>
              </w:rPr>
              <w:t>并</w:t>
            </w:r>
            <w:r>
              <w:rPr>
                <w:rFonts w:hint="eastAsia" w:ascii="宋体" w:hAnsi="宋体" w:cs="宋体"/>
                <w:color w:val="000000"/>
                <w:spacing w:val="8"/>
                <w:szCs w:val="21"/>
              </w:rPr>
              <w:t>处三万元以上五万元以下罚款</w:t>
            </w:r>
          </w:p>
        </w:tc>
        <w:tc>
          <w:tcPr>
            <w:tcW w:w="903" w:type="dxa"/>
            <w:vMerge w:val="continue"/>
          </w:tcPr>
          <w:p w14:paraId="1891C960">
            <w:pPr>
              <w:rPr>
                <w:rFonts w:hint="eastAsia" w:ascii="仿宋_GB2312" w:hAnsi="仿宋_GB2312" w:eastAsia="仿宋_GB2312" w:cs="仿宋_GB2312"/>
                <w:sz w:val="21"/>
                <w:szCs w:val="21"/>
                <w:vertAlign w:val="baseline"/>
                <w:lang w:val="en-US" w:eastAsia="zh-CN"/>
              </w:rPr>
            </w:pPr>
          </w:p>
        </w:tc>
        <w:tc>
          <w:tcPr>
            <w:tcW w:w="1213" w:type="dxa"/>
            <w:vMerge w:val="continue"/>
          </w:tcPr>
          <w:p w14:paraId="0AC142B0">
            <w:pPr>
              <w:rPr>
                <w:rFonts w:hint="eastAsia" w:ascii="仿宋_GB2312" w:hAnsi="仿宋_GB2312" w:eastAsia="仿宋_GB2312" w:cs="仿宋_GB2312"/>
                <w:sz w:val="21"/>
                <w:szCs w:val="21"/>
                <w:vertAlign w:val="baseline"/>
                <w:lang w:val="en-US" w:eastAsia="zh-CN"/>
              </w:rPr>
            </w:pPr>
          </w:p>
        </w:tc>
      </w:tr>
      <w:tr w14:paraId="1EF0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1047" w:type="dxa"/>
            <w:vMerge w:val="continue"/>
          </w:tcPr>
          <w:p w14:paraId="40048523">
            <w:pPr>
              <w:rPr>
                <w:rFonts w:hint="eastAsia" w:ascii="仿宋_GB2312" w:hAnsi="仿宋_GB2312" w:eastAsia="仿宋_GB2312" w:cs="仿宋_GB2312"/>
                <w:sz w:val="21"/>
                <w:szCs w:val="21"/>
                <w:vertAlign w:val="baseline"/>
                <w:lang w:val="en-US" w:eastAsia="zh-CN"/>
              </w:rPr>
            </w:pPr>
          </w:p>
        </w:tc>
        <w:tc>
          <w:tcPr>
            <w:tcW w:w="1563" w:type="dxa"/>
            <w:vMerge w:val="continue"/>
          </w:tcPr>
          <w:p w14:paraId="3BCC2267">
            <w:pPr>
              <w:rPr>
                <w:rFonts w:hint="eastAsia" w:ascii="仿宋_GB2312" w:hAnsi="仿宋_GB2312" w:eastAsia="仿宋_GB2312" w:cs="仿宋_GB2312"/>
                <w:sz w:val="21"/>
                <w:szCs w:val="21"/>
                <w:vertAlign w:val="baseline"/>
                <w:lang w:val="en-US" w:eastAsia="zh-CN"/>
              </w:rPr>
            </w:pPr>
          </w:p>
        </w:tc>
        <w:tc>
          <w:tcPr>
            <w:tcW w:w="2340" w:type="dxa"/>
            <w:vMerge w:val="continue"/>
          </w:tcPr>
          <w:p w14:paraId="712E26CE">
            <w:pPr>
              <w:rPr>
                <w:rFonts w:hint="eastAsia" w:ascii="仿宋_GB2312" w:hAnsi="仿宋_GB2312" w:eastAsia="仿宋_GB2312" w:cs="仿宋_GB2312"/>
                <w:sz w:val="21"/>
                <w:szCs w:val="21"/>
                <w:vertAlign w:val="baseline"/>
                <w:lang w:val="en-US" w:eastAsia="zh-CN"/>
              </w:rPr>
            </w:pPr>
          </w:p>
        </w:tc>
        <w:tc>
          <w:tcPr>
            <w:tcW w:w="1365" w:type="dxa"/>
            <w:vAlign w:val="center"/>
          </w:tcPr>
          <w:p w14:paraId="3DF610EC">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3239" w:type="dxa"/>
            <w:vAlign w:val="center"/>
          </w:tcPr>
          <w:p w14:paraId="664C6DF3">
            <w:pPr>
              <w:rPr>
                <w:rFonts w:hint="eastAsia" w:ascii="宋体" w:hAnsi="宋体" w:cs="宋体"/>
                <w:color w:val="000000"/>
                <w:spacing w:val="8"/>
                <w:szCs w:val="21"/>
                <w:lang w:val="en-US" w:eastAsia="zh-CN"/>
              </w:rPr>
            </w:pPr>
            <w:r>
              <w:rPr>
                <w:rFonts w:hint="eastAsia" w:ascii="宋体" w:hAnsi="宋体" w:cs="宋体"/>
                <w:color w:val="000000"/>
                <w:spacing w:val="8"/>
                <w:szCs w:val="21"/>
              </w:rPr>
              <w:t>违反强制性条文不合格项五条以上，或违反非强制性条文不合格八条以上的，或者违反强制条文和非强制条文共八条以上的</w:t>
            </w:r>
          </w:p>
        </w:tc>
        <w:tc>
          <w:tcPr>
            <w:tcW w:w="1846" w:type="dxa"/>
            <w:vAlign w:val="center"/>
          </w:tcPr>
          <w:p w14:paraId="2D855F64">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w:t>
            </w:r>
            <w:r>
              <w:rPr>
                <w:rFonts w:hint="eastAsia" w:ascii="宋体" w:hAnsi="宋体" w:cs="宋体"/>
                <w:color w:val="000000"/>
                <w:spacing w:val="8"/>
                <w:szCs w:val="21"/>
                <w:lang w:val="en-US" w:eastAsia="zh-CN"/>
              </w:rPr>
              <w:t>并</w:t>
            </w:r>
            <w:r>
              <w:rPr>
                <w:rFonts w:hint="eastAsia" w:ascii="宋体" w:hAnsi="宋体" w:cs="宋体"/>
                <w:color w:val="000000"/>
                <w:spacing w:val="8"/>
                <w:szCs w:val="21"/>
              </w:rPr>
              <w:t>处五万元以上十万元以下罚款</w:t>
            </w:r>
          </w:p>
        </w:tc>
        <w:tc>
          <w:tcPr>
            <w:tcW w:w="903" w:type="dxa"/>
            <w:vMerge w:val="continue"/>
          </w:tcPr>
          <w:p w14:paraId="5B7B9FF4">
            <w:pPr>
              <w:rPr>
                <w:rFonts w:hint="eastAsia" w:ascii="仿宋_GB2312" w:hAnsi="仿宋_GB2312" w:eastAsia="仿宋_GB2312" w:cs="仿宋_GB2312"/>
                <w:sz w:val="21"/>
                <w:szCs w:val="21"/>
                <w:vertAlign w:val="baseline"/>
                <w:lang w:val="en-US" w:eastAsia="zh-CN"/>
              </w:rPr>
            </w:pPr>
          </w:p>
        </w:tc>
        <w:tc>
          <w:tcPr>
            <w:tcW w:w="1213" w:type="dxa"/>
            <w:vMerge w:val="continue"/>
          </w:tcPr>
          <w:p w14:paraId="08A1A854">
            <w:pPr>
              <w:rPr>
                <w:rFonts w:hint="eastAsia" w:ascii="仿宋_GB2312" w:hAnsi="仿宋_GB2312" w:eastAsia="仿宋_GB2312" w:cs="仿宋_GB2312"/>
                <w:sz w:val="21"/>
                <w:szCs w:val="21"/>
                <w:vertAlign w:val="baseline"/>
                <w:lang w:val="en-US" w:eastAsia="zh-CN"/>
              </w:rPr>
            </w:pPr>
          </w:p>
        </w:tc>
      </w:tr>
    </w:tbl>
    <w:p w14:paraId="66F61D7F">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15"/>
        <w:gridCol w:w="2578"/>
        <w:gridCol w:w="1374"/>
        <w:gridCol w:w="2351"/>
        <w:gridCol w:w="2088"/>
        <w:gridCol w:w="1262"/>
        <w:gridCol w:w="1351"/>
      </w:tblGrid>
      <w:tr w14:paraId="369B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vAlign w:val="center"/>
          </w:tcPr>
          <w:p w14:paraId="6D0DD3DB">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515" w:type="dxa"/>
            <w:vAlign w:val="center"/>
          </w:tcPr>
          <w:p w14:paraId="76C3D51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2578" w:type="dxa"/>
            <w:vAlign w:val="center"/>
          </w:tcPr>
          <w:p w14:paraId="2098A5CE">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374" w:type="dxa"/>
            <w:vAlign w:val="center"/>
          </w:tcPr>
          <w:p w14:paraId="6307EF23">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2351" w:type="dxa"/>
            <w:vAlign w:val="center"/>
          </w:tcPr>
          <w:p w14:paraId="07599813">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2088" w:type="dxa"/>
            <w:vAlign w:val="center"/>
          </w:tcPr>
          <w:p w14:paraId="7AA9D479">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1262" w:type="dxa"/>
            <w:vAlign w:val="center"/>
          </w:tcPr>
          <w:p w14:paraId="06CCC7E0">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351" w:type="dxa"/>
            <w:vAlign w:val="center"/>
          </w:tcPr>
          <w:p w14:paraId="36A48FB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w:t>
            </w:r>
          </w:p>
          <w:p w14:paraId="523664F0">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处罚层级</w:t>
            </w:r>
          </w:p>
        </w:tc>
      </w:tr>
      <w:tr w14:paraId="3951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56C8FAE2">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3288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997" w:type="dxa"/>
            <w:vMerge w:val="restart"/>
          </w:tcPr>
          <w:p w14:paraId="4E8E0BC4">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2403006</w:t>
            </w:r>
          </w:p>
        </w:tc>
        <w:tc>
          <w:tcPr>
            <w:tcW w:w="1515" w:type="dxa"/>
            <w:vMerge w:val="restart"/>
          </w:tcPr>
          <w:p w14:paraId="6221699F">
            <w:pPr>
              <w:spacing w:line="320" w:lineRule="exact"/>
              <w:rPr>
                <w:rFonts w:hint="eastAsia" w:ascii="仿宋_GB2312" w:hAnsi="仿宋_GB2312" w:cs="仿宋_GB2312" w:eastAsiaTheme="minorEastAsia"/>
                <w:b/>
                <w:bCs/>
                <w:sz w:val="21"/>
                <w:szCs w:val="21"/>
                <w:vertAlign w:val="baseline"/>
                <w:lang w:val="en-US" w:eastAsia="zh-CN"/>
              </w:rPr>
            </w:pPr>
            <w:r>
              <w:rPr>
                <w:rFonts w:hint="eastAsia" w:ascii="宋体" w:hAnsi="宋体" w:cs="宋体"/>
                <w:color w:val="000000"/>
                <w:spacing w:val="8"/>
                <w:szCs w:val="21"/>
              </w:rPr>
              <w:t>建筑设计单位不按照消防技术标准强制性要求进行消防设计</w:t>
            </w:r>
            <w:r>
              <w:rPr>
                <w:rFonts w:hint="eastAsia" w:ascii="宋体" w:hAnsi="宋体" w:cs="宋体"/>
                <w:color w:val="000000"/>
                <w:spacing w:val="8"/>
                <w:szCs w:val="21"/>
                <w:lang w:eastAsia="zh-CN"/>
              </w:rPr>
              <w:t>的</w:t>
            </w:r>
          </w:p>
        </w:tc>
        <w:tc>
          <w:tcPr>
            <w:tcW w:w="2578" w:type="dxa"/>
            <w:vMerge w:val="restart"/>
          </w:tcPr>
          <w:p w14:paraId="47F56830">
            <w:pPr>
              <w:widowControl/>
              <w:rPr>
                <w:rFonts w:hint="eastAsia" w:ascii="宋体" w:hAnsi="宋体" w:cs="宋体"/>
                <w:color w:val="000000"/>
                <w:spacing w:val="8"/>
                <w:szCs w:val="21"/>
              </w:rPr>
            </w:pPr>
            <w:r>
              <w:rPr>
                <w:rFonts w:hint="eastAsia" w:ascii="宋体" w:hAnsi="宋体" w:cs="宋体"/>
                <w:color w:val="000000"/>
                <w:kern w:val="0"/>
                <w:szCs w:val="21"/>
              </w:rPr>
              <w:t>《中华人民共和国消防法》第五十九条第(二)项</w:t>
            </w:r>
          </w:p>
          <w:p w14:paraId="43C35129">
            <w:pPr>
              <w:rPr>
                <w:rFonts w:hint="eastAsia" w:ascii="宋体" w:hAnsi="宋体" w:cs="宋体"/>
                <w:color w:val="000000"/>
                <w:spacing w:val="8"/>
                <w:szCs w:val="21"/>
              </w:rPr>
            </w:pPr>
            <w:r>
              <w:rPr>
                <w:rFonts w:hint="eastAsia" w:ascii="宋体" w:hAnsi="宋体" w:cs="宋体"/>
                <w:color w:val="000000"/>
                <w:spacing w:val="8"/>
                <w:szCs w:val="21"/>
              </w:rPr>
              <w:t>违反本法规定，有下列行为之一的，由住房和城乡建设主管部门责令改正或者停止施工，并处一万元以上十万元以下罚款：</w:t>
            </w:r>
          </w:p>
          <w:p w14:paraId="15EA9965">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（二）建筑设计单位不按照消防技术标准强制性要求进行消防设计的；</w:t>
            </w:r>
          </w:p>
        </w:tc>
        <w:tc>
          <w:tcPr>
            <w:tcW w:w="1374" w:type="dxa"/>
            <w:vAlign w:val="center"/>
          </w:tcPr>
          <w:p w14:paraId="3A040FD2">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2351" w:type="dxa"/>
            <w:vAlign w:val="center"/>
          </w:tcPr>
          <w:p w14:paraId="77F97E8E">
            <w:pPr>
              <w:widowControl/>
              <w:rPr>
                <w:rFonts w:hint="eastAsia" w:ascii="宋体" w:hAnsi="宋体" w:cs="宋体"/>
                <w:color w:val="000000"/>
                <w:kern w:val="0"/>
                <w:szCs w:val="21"/>
                <w:lang w:val="en-US" w:eastAsia="zh-CN"/>
              </w:rPr>
            </w:pPr>
            <w:r>
              <w:rPr>
                <w:rFonts w:hint="eastAsia" w:ascii="宋体" w:hAnsi="宋体" w:cs="宋体"/>
                <w:color w:val="000000"/>
                <w:kern w:val="0"/>
                <w:szCs w:val="21"/>
              </w:rPr>
              <w:t>消防设计违反三条以下消防技术标准强制性要求的</w:t>
            </w:r>
          </w:p>
        </w:tc>
        <w:tc>
          <w:tcPr>
            <w:tcW w:w="2088" w:type="dxa"/>
            <w:vAlign w:val="center"/>
          </w:tcPr>
          <w:p w14:paraId="6A876624">
            <w:pPr>
              <w:widowControl/>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责令改正或者停止施工，并处一万元以上三万元以下罚款</w:t>
            </w:r>
          </w:p>
        </w:tc>
        <w:tc>
          <w:tcPr>
            <w:tcW w:w="1262" w:type="dxa"/>
            <w:vMerge w:val="restart"/>
          </w:tcPr>
          <w:p w14:paraId="4DD99779">
            <w:pPr>
              <w:rPr>
                <w:rFonts w:hint="eastAsia" w:ascii="仿宋_GB2312" w:hAnsi="仿宋_GB2312" w:eastAsia="仿宋_GB2312" w:cs="仿宋_GB2312"/>
                <w:b/>
                <w:bCs/>
                <w:sz w:val="21"/>
                <w:szCs w:val="21"/>
                <w:vertAlign w:val="baseline"/>
                <w:lang w:val="en-US" w:eastAsia="zh-CN"/>
              </w:rPr>
            </w:pPr>
          </w:p>
        </w:tc>
        <w:tc>
          <w:tcPr>
            <w:tcW w:w="1351" w:type="dxa"/>
            <w:vMerge w:val="restart"/>
          </w:tcPr>
          <w:p w14:paraId="6EA2BC27">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val="en-US" w:eastAsia="zh-CN"/>
              </w:rPr>
              <w:t>省、市、县级</w:t>
            </w:r>
          </w:p>
        </w:tc>
      </w:tr>
      <w:tr w14:paraId="2C1C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97" w:type="dxa"/>
            <w:vMerge w:val="continue"/>
          </w:tcPr>
          <w:p w14:paraId="5E436A6D">
            <w:pPr>
              <w:rPr>
                <w:rFonts w:hint="eastAsia" w:ascii="仿宋_GB2312" w:hAnsi="仿宋_GB2312" w:eastAsia="仿宋_GB2312" w:cs="仿宋_GB2312"/>
                <w:sz w:val="21"/>
                <w:szCs w:val="21"/>
                <w:vertAlign w:val="baseline"/>
                <w:lang w:val="en-US" w:eastAsia="zh-CN"/>
              </w:rPr>
            </w:pPr>
          </w:p>
        </w:tc>
        <w:tc>
          <w:tcPr>
            <w:tcW w:w="1515" w:type="dxa"/>
            <w:vMerge w:val="continue"/>
          </w:tcPr>
          <w:p w14:paraId="602493C8">
            <w:pPr>
              <w:rPr>
                <w:rFonts w:hint="eastAsia" w:ascii="仿宋_GB2312" w:hAnsi="仿宋_GB2312" w:eastAsia="仿宋_GB2312" w:cs="仿宋_GB2312"/>
                <w:sz w:val="21"/>
                <w:szCs w:val="21"/>
                <w:vertAlign w:val="baseline"/>
                <w:lang w:val="en-US" w:eastAsia="zh-CN"/>
              </w:rPr>
            </w:pPr>
          </w:p>
        </w:tc>
        <w:tc>
          <w:tcPr>
            <w:tcW w:w="2578" w:type="dxa"/>
            <w:vMerge w:val="continue"/>
          </w:tcPr>
          <w:p w14:paraId="62B31BB5">
            <w:pPr>
              <w:rPr>
                <w:rFonts w:hint="eastAsia" w:ascii="仿宋_GB2312" w:hAnsi="仿宋_GB2312" w:eastAsia="仿宋_GB2312" w:cs="仿宋_GB2312"/>
                <w:sz w:val="21"/>
                <w:szCs w:val="21"/>
                <w:vertAlign w:val="baseline"/>
                <w:lang w:val="en-US" w:eastAsia="zh-CN"/>
              </w:rPr>
            </w:pPr>
          </w:p>
        </w:tc>
        <w:tc>
          <w:tcPr>
            <w:tcW w:w="1374" w:type="dxa"/>
            <w:vAlign w:val="center"/>
          </w:tcPr>
          <w:p w14:paraId="353321F7">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2351" w:type="dxa"/>
            <w:vAlign w:val="center"/>
          </w:tcPr>
          <w:p w14:paraId="263A5C31">
            <w:pPr>
              <w:widowControl/>
              <w:rPr>
                <w:rFonts w:hint="eastAsia" w:ascii="宋体" w:hAnsi="宋体" w:cs="宋体"/>
                <w:color w:val="000000"/>
                <w:kern w:val="0"/>
                <w:szCs w:val="21"/>
              </w:rPr>
            </w:pPr>
            <w:r>
              <w:rPr>
                <w:rFonts w:hint="eastAsia" w:ascii="宋体" w:hAnsi="宋体" w:cs="宋体"/>
                <w:color w:val="000000"/>
                <w:kern w:val="0"/>
                <w:szCs w:val="21"/>
              </w:rPr>
              <w:t>消防设计违反三条以上五条以下消防技术标准强制性要求的</w:t>
            </w:r>
          </w:p>
        </w:tc>
        <w:tc>
          <w:tcPr>
            <w:tcW w:w="2088" w:type="dxa"/>
            <w:vAlign w:val="center"/>
          </w:tcPr>
          <w:p w14:paraId="64D3864B">
            <w:pPr>
              <w:widowControl/>
              <w:rPr>
                <w:rFonts w:hint="eastAsia" w:ascii="宋体" w:hAnsi="宋体" w:cs="宋体"/>
                <w:color w:val="000000"/>
                <w:spacing w:val="8"/>
                <w:szCs w:val="21"/>
              </w:rPr>
            </w:pPr>
            <w:r>
              <w:rPr>
                <w:rFonts w:hint="eastAsia" w:ascii="宋体" w:hAnsi="宋体" w:cs="宋体"/>
                <w:color w:val="000000"/>
                <w:spacing w:val="8"/>
                <w:szCs w:val="21"/>
              </w:rPr>
              <w:t>责令改正或者停止施工，并处三万元以上五万元以下罚款</w:t>
            </w:r>
          </w:p>
        </w:tc>
        <w:tc>
          <w:tcPr>
            <w:tcW w:w="1262" w:type="dxa"/>
            <w:vMerge w:val="continue"/>
          </w:tcPr>
          <w:p w14:paraId="3CB33BF1">
            <w:pPr>
              <w:rPr>
                <w:rFonts w:hint="eastAsia" w:ascii="仿宋_GB2312" w:hAnsi="仿宋_GB2312" w:eastAsia="仿宋_GB2312" w:cs="仿宋_GB2312"/>
                <w:sz w:val="21"/>
                <w:szCs w:val="21"/>
                <w:vertAlign w:val="baseline"/>
                <w:lang w:val="en-US" w:eastAsia="zh-CN"/>
              </w:rPr>
            </w:pPr>
          </w:p>
        </w:tc>
        <w:tc>
          <w:tcPr>
            <w:tcW w:w="1351" w:type="dxa"/>
            <w:vMerge w:val="continue"/>
          </w:tcPr>
          <w:p w14:paraId="7A8B85A4">
            <w:pPr>
              <w:rPr>
                <w:rFonts w:hint="eastAsia" w:ascii="仿宋_GB2312" w:hAnsi="仿宋_GB2312" w:eastAsia="仿宋_GB2312" w:cs="仿宋_GB2312"/>
                <w:sz w:val="21"/>
                <w:szCs w:val="21"/>
                <w:vertAlign w:val="baseline"/>
                <w:lang w:val="en-US" w:eastAsia="zh-CN"/>
              </w:rPr>
            </w:pPr>
          </w:p>
        </w:tc>
      </w:tr>
      <w:tr w14:paraId="1711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trPr>
        <w:tc>
          <w:tcPr>
            <w:tcW w:w="997" w:type="dxa"/>
            <w:vMerge w:val="continue"/>
          </w:tcPr>
          <w:p w14:paraId="0F47569B">
            <w:pPr>
              <w:rPr>
                <w:rFonts w:hint="eastAsia" w:ascii="仿宋_GB2312" w:hAnsi="仿宋_GB2312" w:eastAsia="仿宋_GB2312" w:cs="仿宋_GB2312"/>
                <w:sz w:val="21"/>
                <w:szCs w:val="21"/>
                <w:vertAlign w:val="baseline"/>
                <w:lang w:val="en-US" w:eastAsia="zh-CN"/>
              </w:rPr>
            </w:pPr>
          </w:p>
        </w:tc>
        <w:tc>
          <w:tcPr>
            <w:tcW w:w="1515" w:type="dxa"/>
            <w:vMerge w:val="continue"/>
          </w:tcPr>
          <w:p w14:paraId="5796E385">
            <w:pPr>
              <w:rPr>
                <w:rFonts w:hint="eastAsia" w:ascii="仿宋_GB2312" w:hAnsi="仿宋_GB2312" w:eastAsia="仿宋_GB2312" w:cs="仿宋_GB2312"/>
                <w:sz w:val="21"/>
                <w:szCs w:val="21"/>
                <w:vertAlign w:val="baseline"/>
                <w:lang w:val="en-US" w:eastAsia="zh-CN"/>
              </w:rPr>
            </w:pPr>
          </w:p>
        </w:tc>
        <w:tc>
          <w:tcPr>
            <w:tcW w:w="2578" w:type="dxa"/>
            <w:vMerge w:val="continue"/>
          </w:tcPr>
          <w:p w14:paraId="29686028">
            <w:pPr>
              <w:rPr>
                <w:rFonts w:hint="eastAsia" w:ascii="仿宋_GB2312" w:hAnsi="仿宋_GB2312" w:eastAsia="仿宋_GB2312" w:cs="仿宋_GB2312"/>
                <w:sz w:val="21"/>
                <w:szCs w:val="21"/>
                <w:vertAlign w:val="baseline"/>
                <w:lang w:val="en-US" w:eastAsia="zh-CN"/>
              </w:rPr>
            </w:pPr>
          </w:p>
        </w:tc>
        <w:tc>
          <w:tcPr>
            <w:tcW w:w="1374" w:type="dxa"/>
            <w:vAlign w:val="center"/>
          </w:tcPr>
          <w:p w14:paraId="4CD17D29">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2351" w:type="dxa"/>
            <w:vAlign w:val="center"/>
          </w:tcPr>
          <w:p w14:paraId="0B519489">
            <w:pPr>
              <w:widowControl/>
              <w:rPr>
                <w:rFonts w:hint="eastAsia" w:ascii="宋体" w:hAnsi="宋体" w:cs="宋体"/>
                <w:color w:val="000000"/>
                <w:kern w:val="0"/>
                <w:szCs w:val="21"/>
                <w:lang w:val="en-US" w:eastAsia="zh-CN"/>
              </w:rPr>
            </w:pPr>
            <w:r>
              <w:rPr>
                <w:rFonts w:hint="eastAsia" w:ascii="宋体" w:hAnsi="宋体" w:cs="宋体"/>
                <w:color w:val="000000"/>
                <w:kern w:val="0"/>
                <w:szCs w:val="21"/>
              </w:rPr>
              <w:t>消防设计违反五条以上消防技术标准强制性要求的</w:t>
            </w:r>
          </w:p>
        </w:tc>
        <w:tc>
          <w:tcPr>
            <w:tcW w:w="2088" w:type="dxa"/>
            <w:vAlign w:val="center"/>
          </w:tcPr>
          <w:p w14:paraId="00FF7AC7">
            <w:pPr>
              <w:widowControl/>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责令改正或者停止施工，并处五万元以上十万元以下罚款</w:t>
            </w:r>
          </w:p>
        </w:tc>
        <w:tc>
          <w:tcPr>
            <w:tcW w:w="1262" w:type="dxa"/>
            <w:vMerge w:val="continue"/>
          </w:tcPr>
          <w:p w14:paraId="5B38C8E8">
            <w:pPr>
              <w:rPr>
                <w:rFonts w:hint="eastAsia" w:ascii="仿宋_GB2312" w:hAnsi="仿宋_GB2312" w:eastAsia="仿宋_GB2312" w:cs="仿宋_GB2312"/>
                <w:sz w:val="21"/>
                <w:szCs w:val="21"/>
                <w:vertAlign w:val="baseline"/>
                <w:lang w:val="en-US" w:eastAsia="zh-CN"/>
              </w:rPr>
            </w:pPr>
          </w:p>
        </w:tc>
        <w:tc>
          <w:tcPr>
            <w:tcW w:w="1351" w:type="dxa"/>
            <w:vMerge w:val="continue"/>
          </w:tcPr>
          <w:p w14:paraId="72C93E78">
            <w:pPr>
              <w:rPr>
                <w:rFonts w:hint="eastAsia" w:ascii="仿宋_GB2312" w:hAnsi="仿宋_GB2312" w:eastAsia="仿宋_GB2312" w:cs="仿宋_GB2312"/>
                <w:sz w:val="21"/>
                <w:szCs w:val="21"/>
                <w:vertAlign w:val="baseline"/>
                <w:lang w:val="en-US" w:eastAsia="zh-CN"/>
              </w:rPr>
            </w:pPr>
          </w:p>
        </w:tc>
      </w:tr>
    </w:tbl>
    <w:p w14:paraId="45A841BF">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405"/>
        <w:gridCol w:w="2325"/>
        <w:gridCol w:w="1440"/>
        <w:gridCol w:w="3488"/>
        <w:gridCol w:w="1746"/>
        <w:gridCol w:w="902"/>
        <w:gridCol w:w="1238"/>
      </w:tblGrid>
      <w:tr w14:paraId="4B44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vAlign w:val="center"/>
          </w:tcPr>
          <w:p w14:paraId="248164A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405" w:type="dxa"/>
            <w:vAlign w:val="center"/>
          </w:tcPr>
          <w:p w14:paraId="7A252933">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2325" w:type="dxa"/>
            <w:vAlign w:val="center"/>
          </w:tcPr>
          <w:p w14:paraId="51721991">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440" w:type="dxa"/>
            <w:vAlign w:val="center"/>
          </w:tcPr>
          <w:p w14:paraId="5A65FC3B">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3488" w:type="dxa"/>
            <w:vAlign w:val="center"/>
          </w:tcPr>
          <w:p w14:paraId="4078E2C4">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1746" w:type="dxa"/>
            <w:vAlign w:val="center"/>
          </w:tcPr>
          <w:p w14:paraId="575E64AB">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902" w:type="dxa"/>
            <w:vAlign w:val="center"/>
          </w:tcPr>
          <w:p w14:paraId="7028751E">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238" w:type="dxa"/>
            <w:vAlign w:val="center"/>
          </w:tcPr>
          <w:p w14:paraId="5668E277">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建议实施处罚层级</w:t>
            </w:r>
          </w:p>
        </w:tc>
      </w:tr>
      <w:tr w14:paraId="2A05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5E507AEE">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1E21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6" w:hRule="atLeast"/>
        </w:trPr>
        <w:tc>
          <w:tcPr>
            <w:tcW w:w="972" w:type="dxa"/>
            <w:vMerge w:val="restart"/>
          </w:tcPr>
          <w:p w14:paraId="1A3CF0DD">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2403007</w:t>
            </w:r>
          </w:p>
        </w:tc>
        <w:tc>
          <w:tcPr>
            <w:tcW w:w="1405" w:type="dxa"/>
            <w:vMerge w:val="restart"/>
          </w:tcPr>
          <w:p w14:paraId="5230ADC5">
            <w:pPr>
              <w:spacing w:line="320" w:lineRule="exact"/>
              <w:rPr>
                <w:rFonts w:hint="eastAsia" w:ascii="仿宋_GB2312" w:hAnsi="仿宋_GB2312" w:cs="仿宋_GB2312" w:eastAsiaTheme="minorEastAsia"/>
                <w:b/>
                <w:bCs/>
                <w:sz w:val="21"/>
                <w:szCs w:val="21"/>
                <w:vertAlign w:val="baseline"/>
                <w:lang w:val="en-US" w:eastAsia="zh-CN"/>
              </w:rPr>
            </w:pPr>
            <w:r>
              <w:rPr>
                <w:rFonts w:hint="eastAsia" w:ascii="宋体" w:hAnsi="宋体" w:cs="宋体"/>
                <w:color w:val="000000"/>
                <w:spacing w:val="8"/>
                <w:szCs w:val="21"/>
              </w:rPr>
              <w:t>建筑施工企业不按照消防设计文件和消防技术标准施工，降低消防施工质量</w:t>
            </w:r>
            <w:r>
              <w:rPr>
                <w:rFonts w:hint="eastAsia" w:ascii="宋体" w:hAnsi="宋体" w:cs="宋体"/>
                <w:color w:val="000000"/>
                <w:spacing w:val="8"/>
                <w:szCs w:val="21"/>
                <w:lang w:eastAsia="zh-CN"/>
              </w:rPr>
              <w:t>的</w:t>
            </w:r>
          </w:p>
        </w:tc>
        <w:tc>
          <w:tcPr>
            <w:tcW w:w="2325" w:type="dxa"/>
            <w:vMerge w:val="restart"/>
          </w:tcPr>
          <w:p w14:paraId="69BB1225">
            <w:pPr>
              <w:widowControl/>
              <w:rPr>
                <w:rFonts w:hint="eastAsia" w:ascii="宋体" w:hAnsi="宋体" w:cs="宋体"/>
                <w:color w:val="000000"/>
                <w:spacing w:val="8"/>
                <w:szCs w:val="21"/>
              </w:rPr>
            </w:pPr>
            <w:r>
              <w:rPr>
                <w:rFonts w:hint="eastAsia" w:ascii="宋体" w:hAnsi="宋体" w:cs="宋体"/>
                <w:color w:val="000000"/>
                <w:kern w:val="0"/>
                <w:szCs w:val="21"/>
              </w:rPr>
              <w:t>《中华人民共和国消防法》第五十九条第(三)项</w:t>
            </w:r>
            <w:r>
              <w:rPr>
                <w:rFonts w:hint="eastAsia" w:ascii="宋体" w:hAnsi="宋体" w:cs="宋体"/>
                <w:color w:val="000000"/>
                <w:kern w:val="0"/>
                <w:szCs w:val="21"/>
                <w:lang w:val="en-US" w:eastAsia="zh-CN"/>
              </w:rPr>
              <w:t xml:space="preserve"> </w:t>
            </w:r>
            <w:r>
              <w:rPr>
                <w:rFonts w:hint="eastAsia" w:ascii="宋体" w:hAnsi="宋体" w:cs="宋体"/>
                <w:color w:val="000000"/>
                <w:spacing w:val="8"/>
                <w:szCs w:val="21"/>
              </w:rPr>
              <w:t>违反本法规定，有下列行为之一的，由住房和城乡建设主管部门责令改正或者停止施工，并处一万元以上十万元以下罚款：</w:t>
            </w:r>
          </w:p>
          <w:p w14:paraId="0F8F5164">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（三）建筑施工企业不按照消防设计文件和消防技术标准施工，降低消防施工质量的；</w:t>
            </w:r>
          </w:p>
        </w:tc>
        <w:tc>
          <w:tcPr>
            <w:tcW w:w="1440" w:type="dxa"/>
            <w:vAlign w:val="center"/>
          </w:tcPr>
          <w:p w14:paraId="1CFBFE4E">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3488" w:type="dxa"/>
            <w:vAlign w:val="center"/>
          </w:tcPr>
          <w:p w14:paraId="12B940B0">
            <w:pPr>
              <w:widowControl/>
              <w:rPr>
                <w:rFonts w:hint="eastAsia" w:ascii="宋体" w:hAnsi="宋体" w:cs="宋体"/>
                <w:color w:val="000000"/>
                <w:spacing w:val="8"/>
                <w:szCs w:val="21"/>
                <w:lang w:val="en-US" w:eastAsia="zh-CN"/>
              </w:rPr>
            </w:pPr>
            <w:r>
              <w:rPr>
                <w:rFonts w:hint="eastAsia" w:ascii="宋体" w:hAnsi="宋体" w:cs="宋体"/>
                <w:color w:val="000000"/>
                <w:spacing w:val="8"/>
                <w:szCs w:val="21"/>
              </w:rPr>
              <w:t>违反国家工程建设消防技术标准强制性条文（以下简称强制性条文）二条以下，或者违反国家工程建设消防技术标准中带有“严禁</w:t>
            </w:r>
            <w:r>
              <w:rPr>
                <w:rFonts w:hint="eastAsia" w:ascii="宋体" w:hAnsi="宋体" w:cs="宋体"/>
                <w:color w:val="000000"/>
                <w:spacing w:val="8"/>
                <w:szCs w:val="21"/>
                <w:lang w:eastAsia="zh-CN"/>
              </w:rPr>
              <w:t>”“</w:t>
            </w:r>
            <w:r>
              <w:rPr>
                <w:rFonts w:hint="eastAsia" w:ascii="宋体" w:hAnsi="宋体" w:cs="宋体"/>
                <w:color w:val="000000"/>
                <w:spacing w:val="8"/>
                <w:szCs w:val="21"/>
              </w:rPr>
              <w:t>必须”“应”“不应”“不得”要求的非强制性条文（以下简称非强制性条文）四条以下，</w:t>
            </w:r>
            <w:r>
              <w:rPr>
                <w:rFonts w:hint="eastAsia" w:ascii="宋体" w:hAnsi="宋体" w:cs="宋体"/>
                <w:color w:val="000000"/>
                <w:spacing w:val="8"/>
                <w:szCs w:val="21"/>
                <w:lang w:eastAsia="zh-CN"/>
              </w:rPr>
              <w:t>或者违反</w:t>
            </w:r>
            <w:r>
              <w:rPr>
                <w:rFonts w:hint="eastAsia" w:ascii="宋体" w:hAnsi="宋体" w:cs="宋体"/>
                <w:color w:val="000000"/>
                <w:spacing w:val="8"/>
                <w:szCs w:val="21"/>
              </w:rPr>
              <w:t>强制条文和非强制条文共四条以下的</w:t>
            </w:r>
          </w:p>
        </w:tc>
        <w:tc>
          <w:tcPr>
            <w:tcW w:w="1746" w:type="dxa"/>
            <w:vAlign w:val="center"/>
          </w:tcPr>
          <w:p w14:paraId="5E370624">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责令改正或者停止施工，并处一万元以上三万元以下罚款</w:t>
            </w:r>
          </w:p>
        </w:tc>
        <w:tc>
          <w:tcPr>
            <w:tcW w:w="902" w:type="dxa"/>
            <w:vMerge w:val="restart"/>
          </w:tcPr>
          <w:p w14:paraId="1E967B0C">
            <w:pPr>
              <w:rPr>
                <w:rFonts w:hint="eastAsia" w:ascii="仿宋_GB2312" w:hAnsi="仿宋_GB2312" w:eastAsia="仿宋_GB2312" w:cs="仿宋_GB2312"/>
                <w:b/>
                <w:bCs/>
                <w:sz w:val="21"/>
                <w:szCs w:val="21"/>
                <w:vertAlign w:val="baseline"/>
                <w:lang w:val="en-US" w:eastAsia="zh-CN"/>
              </w:rPr>
            </w:pPr>
          </w:p>
        </w:tc>
        <w:tc>
          <w:tcPr>
            <w:tcW w:w="1238" w:type="dxa"/>
            <w:vMerge w:val="restart"/>
          </w:tcPr>
          <w:p w14:paraId="17BC28E8">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val="en-US" w:eastAsia="zh-CN"/>
              </w:rPr>
              <w:t>省、市、县级</w:t>
            </w:r>
          </w:p>
        </w:tc>
      </w:tr>
      <w:tr w14:paraId="7D0A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972" w:type="dxa"/>
            <w:vMerge w:val="continue"/>
          </w:tcPr>
          <w:p w14:paraId="3ECDCA55">
            <w:pPr>
              <w:rPr>
                <w:rFonts w:hint="eastAsia" w:ascii="仿宋_GB2312" w:hAnsi="仿宋_GB2312" w:eastAsia="仿宋_GB2312" w:cs="仿宋_GB2312"/>
                <w:sz w:val="21"/>
                <w:szCs w:val="21"/>
                <w:vertAlign w:val="baseline"/>
                <w:lang w:val="en-US" w:eastAsia="zh-CN"/>
              </w:rPr>
            </w:pPr>
          </w:p>
        </w:tc>
        <w:tc>
          <w:tcPr>
            <w:tcW w:w="1405" w:type="dxa"/>
            <w:vMerge w:val="continue"/>
          </w:tcPr>
          <w:p w14:paraId="4B287346">
            <w:pPr>
              <w:rPr>
                <w:rFonts w:hint="eastAsia" w:ascii="仿宋_GB2312" w:hAnsi="仿宋_GB2312" w:eastAsia="仿宋_GB2312" w:cs="仿宋_GB2312"/>
                <w:sz w:val="21"/>
                <w:szCs w:val="21"/>
                <w:vertAlign w:val="baseline"/>
                <w:lang w:val="en-US" w:eastAsia="zh-CN"/>
              </w:rPr>
            </w:pPr>
          </w:p>
        </w:tc>
        <w:tc>
          <w:tcPr>
            <w:tcW w:w="2325" w:type="dxa"/>
            <w:vMerge w:val="continue"/>
          </w:tcPr>
          <w:p w14:paraId="57450443">
            <w:pPr>
              <w:rPr>
                <w:rFonts w:hint="eastAsia" w:ascii="仿宋_GB2312" w:hAnsi="仿宋_GB2312" w:eastAsia="仿宋_GB2312" w:cs="仿宋_GB2312"/>
                <w:sz w:val="21"/>
                <w:szCs w:val="21"/>
                <w:vertAlign w:val="baseline"/>
                <w:lang w:val="en-US" w:eastAsia="zh-CN"/>
              </w:rPr>
            </w:pPr>
          </w:p>
        </w:tc>
        <w:tc>
          <w:tcPr>
            <w:tcW w:w="1440" w:type="dxa"/>
            <w:vAlign w:val="center"/>
          </w:tcPr>
          <w:p w14:paraId="71FF19F4">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3488" w:type="dxa"/>
            <w:vAlign w:val="center"/>
          </w:tcPr>
          <w:p w14:paraId="07A111E4">
            <w:pPr>
              <w:widowControl/>
              <w:rPr>
                <w:rFonts w:hint="eastAsia" w:ascii="宋体" w:hAnsi="宋体" w:cs="宋体"/>
                <w:color w:val="000000"/>
                <w:spacing w:val="8"/>
                <w:szCs w:val="21"/>
              </w:rPr>
            </w:pPr>
            <w:r>
              <w:rPr>
                <w:rFonts w:hint="eastAsia" w:ascii="宋体" w:hAnsi="宋体" w:cs="宋体"/>
                <w:color w:val="000000"/>
                <w:spacing w:val="8"/>
                <w:szCs w:val="21"/>
              </w:rPr>
              <w:t>违反强制性条文</w:t>
            </w:r>
            <w:r>
              <w:rPr>
                <w:rFonts w:hint="eastAsia" w:ascii="宋体" w:hAnsi="宋体" w:cs="宋体"/>
                <w:color w:val="000000"/>
                <w:spacing w:val="8"/>
                <w:szCs w:val="21"/>
                <w:lang w:eastAsia="zh-CN"/>
              </w:rPr>
              <w:t>两条以上</w:t>
            </w:r>
            <w:r>
              <w:rPr>
                <w:rFonts w:hint="eastAsia" w:ascii="宋体" w:hAnsi="宋体" w:cs="宋体"/>
                <w:color w:val="000000"/>
                <w:spacing w:val="8"/>
                <w:szCs w:val="21"/>
              </w:rPr>
              <w:t>五条以下，或者违反非强制性条文不合格项四条以上八条以下，或者违反强制条文和非强制条文共四条以上八条以下的</w:t>
            </w:r>
          </w:p>
        </w:tc>
        <w:tc>
          <w:tcPr>
            <w:tcW w:w="1746" w:type="dxa"/>
            <w:vAlign w:val="center"/>
          </w:tcPr>
          <w:p w14:paraId="334C19C9">
            <w:pPr>
              <w:rPr>
                <w:rFonts w:hint="eastAsia" w:ascii="宋体" w:hAnsi="宋体" w:cs="宋体"/>
                <w:color w:val="000000"/>
                <w:spacing w:val="8"/>
                <w:szCs w:val="21"/>
              </w:rPr>
            </w:pPr>
            <w:r>
              <w:rPr>
                <w:rFonts w:hint="eastAsia" w:ascii="宋体" w:hAnsi="宋体" w:cs="宋体"/>
                <w:color w:val="000000"/>
                <w:spacing w:val="8"/>
                <w:szCs w:val="21"/>
              </w:rPr>
              <w:t>责令改正或者停止施工，并处三万元以上五万元以下罚款</w:t>
            </w:r>
          </w:p>
        </w:tc>
        <w:tc>
          <w:tcPr>
            <w:tcW w:w="902" w:type="dxa"/>
            <w:vMerge w:val="continue"/>
          </w:tcPr>
          <w:p w14:paraId="3AF4E97C">
            <w:pPr>
              <w:rPr>
                <w:rFonts w:hint="eastAsia" w:ascii="仿宋_GB2312" w:hAnsi="仿宋_GB2312" w:eastAsia="仿宋_GB2312" w:cs="仿宋_GB2312"/>
                <w:sz w:val="21"/>
                <w:szCs w:val="21"/>
                <w:vertAlign w:val="baseline"/>
                <w:lang w:val="en-US" w:eastAsia="zh-CN"/>
              </w:rPr>
            </w:pPr>
          </w:p>
        </w:tc>
        <w:tc>
          <w:tcPr>
            <w:tcW w:w="1238" w:type="dxa"/>
            <w:vMerge w:val="continue"/>
          </w:tcPr>
          <w:p w14:paraId="044A96CC">
            <w:pPr>
              <w:rPr>
                <w:rFonts w:hint="eastAsia" w:ascii="仿宋_GB2312" w:hAnsi="仿宋_GB2312" w:eastAsia="仿宋_GB2312" w:cs="仿宋_GB2312"/>
                <w:sz w:val="21"/>
                <w:szCs w:val="21"/>
                <w:vertAlign w:val="baseline"/>
                <w:lang w:val="en-US" w:eastAsia="zh-CN"/>
              </w:rPr>
            </w:pPr>
          </w:p>
        </w:tc>
      </w:tr>
      <w:tr w14:paraId="4DD8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972" w:type="dxa"/>
            <w:vMerge w:val="continue"/>
          </w:tcPr>
          <w:p w14:paraId="4A3CAE69">
            <w:pPr>
              <w:rPr>
                <w:rFonts w:hint="eastAsia" w:ascii="仿宋_GB2312" w:hAnsi="仿宋_GB2312" w:eastAsia="仿宋_GB2312" w:cs="仿宋_GB2312"/>
                <w:sz w:val="21"/>
                <w:szCs w:val="21"/>
                <w:vertAlign w:val="baseline"/>
                <w:lang w:val="en-US" w:eastAsia="zh-CN"/>
              </w:rPr>
            </w:pPr>
          </w:p>
        </w:tc>
        <w:tc>
          <w:tcPr>
            <w:tcW w:w="1405" w:type="dxa"/>
            <w:vMerge w:val="continue"/>
          </w:tcPr>
          <w:p w14:paraId="5F6617F0">
            <w:pPr>
              <w:rPr>
                <w:rFonts w:hint="eastAsia" w:ascii="仿宋_GB2312" w:hAnsi="仿宋_GB2312" w:eastAsia="仿宋_GB2312" w:cs="仿宋_GB2312"/>
                <w:sz w:val="21"/>
                <w:szCs w:val="21"/>
                <w:vertAlign w:val="baseline"/>
                <w:lang w:val="en-US" w:eastAsia="zh-CN"/>
              </w:rPr>
            </w:pPr>
          </w:p>
        </w:tc>
        <w:tc>
          <w:tcPr>
            <w:tcW w:w="2325" w:type="dxa"/>
            <w:vMerge w:val="continue"/>
          </w:tcPr>
          <w:p w14:paraId="165E8CF8">
            <w:pPr>
              <w:rPr>
                <w:rFonts w:hint="eastAsia" w:ascii="仿宋_GB2312" w:hAnsi="仿宋_GB2312" w:eastAsia="仿宋_GB2312" w:cs="仿宋_GB2312"/>
                <w:sz w:val="21"/>
                <w:szCs w:val="21"/>
                <w:vertAlign w:val="baseline"/>
                <w:lang w:val="en-US" w:eastAsia="zh-CN"/>
              </w:rPr>
            </w:pPr>
          </w:p>
        </w:tc>
        <w:tc>
          <w:tcPr>
            <w:tcW w:w="1440" w:type="dxa"/>
            <w:vAlign w:val="center"/>
          </w:tcPr>
          <w:p w14:paraId="1966B950">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3488" w:type="dxa"/>
            <w:vAlign w:val="center"/>
          </w:tcPr>
          <w:p w14:paraId="7E7A549F">
            <w:pPr>
              <w:widowControl/>
              <w:rPr>
                <w:rFonts w:hint="eastAsia" w:ascii="宋体" w:hAnsi="宋体" w:cs="宋体"/>
                <w:color w:val="000000"/>
                <w:spacing w:val="8"/>
                <w:szCs w:val="21"/>
                <w:lang w:val="en-US" w:eastAsia="zh-CN"/>
              </w:rPr>
            </w:pPr>
            <w:r>
              <w:rPr>
                <w:rFonts w:hint="eastAsia" w:ascii="宋体" w:hAnsi="宋体" w:cs="宋体"/>
                <w:color w:val="000000"/>
                <w:spacing w:val="8"/>
                <w:szCs w:val="21"/>
              </w:rPr>
              <w:t>违反强制性条文不合格项五条以上，或违反非强制性条文不合格八条以上，或者违反强制条文和非强制条文共八条以上的</w:t>
            </w:r>
          </w:p>
        </w:tc>
        <w:tc>
          <w:tcPr>
            <w:tcW w:w="1746" w:type="dxa"/>
            <w:vAlign w:val="center"/>
          </w:tcPr>
          <w:p w14:paraId="26D87F5E">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责令改正或者停止施工，并处五万元以上十万元以下罚款</w:t>
            </w:r>
          </w:p>
        </w:tc>
        <w:tc>
          <w:tcPr>
            <w:tcW w:w="902" w:type="dxa"/>
            <w:vMerge w:val="continue"/>
          </w:tcPr>
          <w:p w14:paraId="320FA670">
            <w:pPr>
              <w:rPr>
                <w:rFonts w:hint="eastAsia" w:ascii="仿宋_GB2312" w:hAnsi="仿宋_GB2312" w:eastAsia="仿宋_GB2312" w:cs="仿宋_GB2312"/>
                <w:sz w:val="21"/>
                <w:szCs w:val="21"/>
                <w:vertAlign w:val="baseline"/>
                <w:lang w:val="en-US" w:eastAsia="zh-CN"/>
              </w:rPr>
            </w:pPr>
          </w:p>
        </w:tc>
        <w:tc>
          <w:tcPr>
            <w:tcW w:w="1238" w:type="dxa"/>
            <w:vMerge w:val="continue"/>
          </w:tcPr>
          <w:p w14:paraId="201E0F1E">
            <w:pPr>
              <w:rPr>
                <w:rFonts w:hint="eastAsia" w:ascii="仿宋_GB2312" w:hAnsi="仿宋_GB2312" w:eastAsia="仿宋_GB2312" w:cs="仿宋_GB2312"/>
                <w:sz w:val="21"/>
                <w:szCs w:val="21"/>
                <w:vertAlign w:val="baseline"/>
                <w:lang w:val="en-US" w:eastAsia="zh-CN"/>
              </w:rPr>
            </w:pPr>
          </w:p>
        </w:tc>
      </w:tr>
    </w:tbl>
    <w:p w14:paraId="735C5B78">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tbl>
      <w:tblPr>
        <w:tblStyle w:val="7"/>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85"/>
        <w:gridCol w:w="2153"/>
        <w:gridCol w:w="1194"/>
        <w:gridCol w:w="3866"/>
        <w:gridCol w:w="1851"/>
        <w:gridCol w:w="901"/>
        <w:gridCol w:w="1144"/>
      </w:tblGrid>
      <w:tr w14:paraId="659F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vAlign w:val="center"/>
          </w:tcPr>
          <w:p w14:paraId="02B76A0C">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385" w:type="dxa"/>
            <w:vAlign w:val="center"/>
          </w:tcPr>
          <w:p w14:paraId="31C43609">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违法行为</w:t>
            </w:r>
          </w:p>
        </w:tc>
        <w:tc>
          <w:tcPr>
            <w:tcW w:w="2153" w:type="dxa"/>
            <w:vAlign w:val="center"/>
          </w:tcPr>
          <w:p w14:paraId="5532896D">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法定依据</w:t>
            </w:r>
          </w:p>
        </w:tc>
        <w:tc>
          <w:tcPr>
            <w:tcW w:w="1194" w:type="dxa"/>
            <w:vAlign w:val="center"/>
          </w:tcPr>
          <w:p w14:paraId="22628214">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裁量阶次</w:t>
            </w:r>
          </w:p>
        </w:tc>
        <w:tc>
          <w:tcPr>
            <w:tcW w:w="3866" w:type="dxa"/>
            <w:vAlign w:val="center"/>
          </w:tcPr>
          <w:p w14:paraId="05C38175">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适用条件</w:t>
            </w:r>
          </w:p>
        </w:tc>
        <w:tc>
          <w:tcPr>
            <w:tcW w:w="1851" w:type="dxa"/>
            <w:vAlign w:val="center"/>
          </w:tcPr>
          <w:p w14:paraId="1E5C4F19">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具体标准</w:t>
            </w:r>
          </w:p>
        </w:tc>
        <w:tc>
          <w:tcPr>
            <w:tcW w:w="901" w:type="dxa"/>
            <w:vAlign w:val="center"/>
          </w:tcPr>
          <w:p w14:paraId="19DE34E7">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备注</w:t>
            </w:r>
          </w:p>
        </w:tc>
        <w:tc>
          <w:tcPr>
            <w:tcW w:w="1144" w:type="dxa"/>
            <w:vAlign w:val="center"/>
          </w:tcPr>
          <w:p w14:paraId="50D5E91F">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建议实施</w:t>
            </w:r>
          </w:p>
          <w:p w14:paraId="4A369D36">
            <w:pPr>
              <w:jc w:val="center"/>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处罚层级</w:t>
            </w:r>
          </w:p>
        </w:tc>
      </w:tr>
      <w:tr w14:paraId="1B6F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vAlign w:val="center"/>
          </w:tcPr>
          <w:p w14:paraId="11189142">
            <w:pPr>
              <w:jc w:val="left"/>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sz w:val="21"/>
                <w:szCs w:val="21"/>
                <w:highlight w:val="none"/>
                <w:vertAlign w:val="baseline"/>
                <w:lang w:val="en-US" w:eastAsia="zh-CN"/>
              </w:rPr>
              <w:t>类别：建筑消防类</w:t>
            </w:r>
          </w:p>
        </w:tc>
      </w:tr>
      <w:tr w14:paraId="3C81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8" w:hRule="atLeast"/>
        </w:trPr>
        <w:tc>
          <w:tcPr>
            <w:tcW w:w="1022" w:type="dxa"/>
            <w:vMerge w:val="restart"/>
          </w:tcPr>
          <w:p w14:paraId="06009F76">
            <w:pPr>
              <w:rPr>
                <w:rFonts w:hint="default"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color w:val="000000" w:themeColor="text1"/>
                <w:sz w:val="21"/>
                <w:szCs w:val="21"/>
                <w:highlight w:val="none"/>
                <w:vertAlign w:val="baseline"/>
                <w:lang w:val="en-US" w:eastAsia="zh-CN"/>
                <w14:textFill>
                  <w14:solidFill>
                    <w14:schemeClr w14:val="tx1"/>
                  </w14:solidFill>
                </w14:textFill>
              </w:rPr>
              <w:t>2403008</w:t>
            </w:r>
          </w:p>
        </w:tc>
        <w:tc>
          <w:tcPr>
            <w:tcW w:w="1385" w:type="dxa"/>
            <w:vMerge w:val="restart"/>
          </w:tcPr>
          <w:p w14:paraId="253DB668">
            <w:pPr>
              <w:spacing w:line="320" w:lineRule="exact"/>
              <w:rPr>
                <w:rFonts w:hint="eastAsia" w:ascii="仿宋_GB2312" w:hAnsi="仿宋_GB2312" w:cs="仿宋_GB2312" w:eastAsiaTheme="minorEastAsia"/>
                <w:b/>
                <w:bCs/>
                <w:sz w:val="21"/>
                <w:szCs w:val="21"/>
                <w:vertAlign w:val="baseline"/>
                <w:lang w:val="en-US" w:eastAsia="zh-CN"/>
              </w:rPr>
            </w:pPr>
            <w:r>
              <w:rPr>
                <w:rFonts w:hint="eastAsia" w:ascii="宋体" w:hAnsi="宋体" w:cs="宋体"/>
                <w:color w:val="000000"/>
                <w:spacing w:val="8"/>
                <w:szCs w:val="21"/>
              </w:rPr>
              <w:t>工程监理单位与建设单位或者建筑施工企业串通，弄虚作假，降低消防施工质量</w:t>
            </w:r>
            <w:r>
              <w:rPr>
                <w:rFonts w:hint="eastAsia" w:ascii="宋体" w:hAnsi="宋体" w:cs="宋体"/>
                <w:color w:val="000000"/>
                <w:spacing w:val="8"/>
                <w:szCs w:val="21"/>
                <w:lang w:eastAsia="zh-CN"/>
              </w:rPr>
              <w:t>的</w:t>
            </w:r>
          </w:p>
        </w:tc>
        <w:tc>
          <w:tcPr>
            <w:tcW w:w="2153" w:type="dxa"/>
            <w:vMerge w:val="restart"/>
          </w:tcPr>
          <w:p w14:paraId="1F63DA04">
            <w:pPr>
              <w:widowControl/>
              <w:rPr>
                <w:rFonts w:hint="eastAsia" w:ascii="宋体" w:hAnsi="宋体" w:cs="宋体"/>
                <w:color w:val="000000"/>
                <w:spacing w:val="8"/>
                <w:szCs w:val="21"/>
              </w:rPr>
            </w:pPr>
            <w:r>
              <w:rPr>
                <w:rFonts w:hint="eastAsia" w:ascii="宋体" w:hAnsi="宋体" w:cs="宋体"/>
                <w:color w:val="000000"/>
                <w:kern w:val="0"/>
                <w:szCs w:val="21"/>
              </w:rPr>
              <w:t>《中华人民共和国消防法》第五十九条第(四)项</w:t>
            </w:r>
            <w:r>
              <w:rPr>
                <w:rFonts w:hint="eastAsia" w:ascii="宋体" w:hAnsi="宋体" w:cs="宋体"/>
                <w:color w:val="000000"/>
                <w:kern w:val="0"/>
                <w:szCs w:val="21"/>
                <w:lang w:val="en-US" w:eastAsia="zh-CN"/>
              </w:rPr>
              <w:t xml:space="preserve"> </w:t>
            </w:r>
            <w:r>
              <w:rPr>
                <w:rFonts w:hint="eastAsia" w:ascii="宋体" w:hAnsi="宋体" w:cs="宋体"/>
                <w:color w:val="000000"/>
                <w:spacing w:val="8"/>
                <w:szCs w:val="21"/>
              </w:rPr>
              <w:t>违反本法规定，有下列行为之一的，由住房和城乡建设主管部门责令改正或者停止施工，并处一万元以上十万元以下罚款：</w:t>
            </w:r>
          </w:p>
          <w:p w14:paraId="54E66DE5">
            <w:pPr>
              <w:spacing w:line="320" w:lineRule="exact"/>
              <w:rPr>
                <w:rFonts w:hint="eastAsia" w:ascii="仿宋_GB2312" w:hAnsi="仿宋_GB2312" w:eastAsia="仿宋_GB2312" w:cs="仿宋_GB2312"/>
                <w:b/>
                <w:bCs/>
                <w:sz w:val="21"/>
                <w:szCs w:val="21"/>
                <w:vertAlign w:val="baseline"/>
                <w:lang w:val="en-US" w:eastAsia="zh-CN"/>
              </w:rPr>
            </w:pPr>
            <w:r>
              <w:rPr>
                <w:rFonts w:hint="eastAsia" w:ascii="宋体" w:hAnsi="宋体" w:cs="宋体"/>
                <w:color w:val="000000"/>
                <w:spacing w:val="8"/>
                <w:szCs w:val="21"/>
              </w:rPr>
              <w:t>（四）工程监理单位与建设单位或者建筑施工企业串通，弄虚作假，降低消防施工质量的。</w:t>
            </w:r>
          </w:p>
        </w:tc>
        <w:tc>
          <w:tcPr>
            <w:tcW w:w="1194" w:type="dxa"/>
            <w:vAlign w:val="center"/>
          </w:tcPr>
          <w:p w14:paraId="26609512">
            <w:pPr>
              <w:jc w:val="center"/>
              <w:rPr>
                <w:rFonts w:hint="default" w:ascii="楷体_GB2312" w:hAnsi="楷体_GB2312" w:eastAsia="楷体_GB2312" w:cs="楷体_GB2312"/>
                <w:b/>
                <w:bCs/>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从轻处罚</w:t>
            </w:r>
          </w:p>
        </w:tc>
        <w:tc>
          <w:tcPr>
            <w:tcW w:w="3866" w:type="dxa"/>
            <w:vAlign w:val="center"/>
          </w:tcPr>
          <w:p w14:paraId="66C5E56D">
            <w:pPr>
              <w:rPr>
                <w:rFonts w:hint="eastAsia" w:ascii="宋体" w:hAnsi="宋体" w:cs="宋体"/>
                <w:color w:val="000000"/>
                <w:spacing w:val="8"/>
                <w:szCs w:val="21"/>
                <w:lang w:val="en-US" w:eastAsia="zh-CN"/>
              </w:rPr>
            </w:pPr>
            <w:r>
              <w:rPr>
                <w:rFonts w:hint="eastAsia" w:ascii="宋体" w:hAnsi="宋体" w:cs="宋体"/>
                <w:color w:val="000000"/>
                <w:spacing w:val="8"/>
                <w:szCs w:val="21"/>
              </w:rPr>
              <w:t>违反国家工程建设消防技术标准强制性条文（以下简称强制性条文）二条以下，或者违反国家工程建设消防技术标准中带有“严禁</w:t>
            </w:r>
            <w:r>
              <w:rPr>
                <w:rFonts w:hint="eastAsia" w:ascii="宋体" w:hAnsi="宋体" w:cs="宋体"/>
                <w:color w:val="000000"/>
                <w:spacing w:val="8"/>
                <w:szCs w:val="21"/>
                <w:lang w:eastAsia="zh-CN"/>
              </w:rPr>
              <w:t>”“</w:t>
            </w:r>
            <w:r>
              <w:rPr>
                <w:rFonts w:hint="eastAsia" w:ascii="宋体" w:hAnsi="宋体" w:cs="宋体"/>
                <w:color w:val="000000"/>
                <w:spacing w:val="8"/>
                <w:szCs w:val="21"/>
              </w:rPr>
              <w:t>必须”“应”“不应”“不得”要求的非强制性条文（以下简称非强制性条文）四条以下，或者违反强制条文和非强制条文共四条以下</w:t>
            </w:r>
          </w:p>
        </w:tc>
        <w:tc>
          <w:tcPr>
            <w:tcW w:w="1851" w:type="dxa"/>
            <w:vAlign w:val="center"/>
          </w:tcPr>
          <w:p w14:paraId="7E0165ED">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责令改正或者停止施工，并处一万元以上三万元以下罚款</w:t>
            </w:r>
          </w:p>
        </w:tc>
        <w:tc>
          <w:tcPr>
            <w:tcW w:w="901" w:type="dxa"/>
            <w:vMerge w:val="restart"/>
          </w:tcPr>
          <w:p w14:paraId="52C3B99D">
            <w:pPr>
              <w:rPr>
                <w:rFonts w:hint="eastAsia" w:ascii="仿宋_GB2312" w:hAnsi="仿宋_GB2312" w:eastAsia="仿宋_GB2312" w:cs="仿宋_GB2312"/>
                <w:b/>
                <w:bCs/>
                <w:sz w:val="21"/>
                <w:szCs w:val="21"/>
                <w:vertAlign w:val="baseline"/>
                <w:lang w:val="en-US" w:eastAsia="zh-CN"/>
              </w:rPr>
            </w:pPr>
          </w:p>
        </w:tc>
        <w:tc>
          <w:tcPr>
            <w:tcW w:w="1144" w:type="dxa"/>
            <w:vMerge w:val="restart"/>
          </w:tcPr>
          <w:p w14:paraId="3D843402">
            <w:pPr>
              <w:rPr>
                <w:rFonts w:hint="eastAsia" w:ascii="仿宋_GB2312" w:hAnsi="仿宋_GB2312" w:eastAsia="仿宋_GB2312" w:cs="仿宋_GB2312"/>
                <w:b/>
                <w:bCs/>
                <w:sz w:val="21"/>
                <w:szCs w:val="21"/>
                <w:vertAlign w:val="baseline"/>
                <w:lang w:val="en-US" w:eastAsia="zh-CN"/>
              </w:rPr>
            </w:pPr>
            <w:r>
              <w:rPr>
                <w:rFonts w:hint="eastAsia" w:ascii="宋体" w:cs="宋体"/>
                <w:kern w:val="0"/>
                <w:sz w:val="18"/>
                <w:szCs w:val="18"/>
                <w:lang w:val="en-US" w:eastAsia="zh-CN"/>
              </w:rPr>
              <w:t>省、市、县级</w:t>
            </w:r>
          </w:p>
        </w:tc>
      </w:tr>
      <w:tr w14:paraId="0A70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22" w:type="dxa"/>
            <w:vMerge w:val="continue"/>
          </w:tcPr>
          <w:p w14:paraId="622CCFA5">
            <w:pPr>
              <w:rPr>
                <w:rFonts w:hint="eastAsia" w:ascii="仿宋_GB2312" w:hAnsi="仿宋_GB2312" w:eastAsia="仿宋_GB2312" w:cs="仿宋_GB2312"/>
                <w:sz w:val="21"/>
                <w:szCs w:val="21"/>
                <w:vertAlign w:val="baseline"/>
                <w:lang w:val="en-US" w:eastAsia="zh-CN"/>
              </w:rPr>
            </w:pPr>
          </w:p>
        </w:tc>
        <w:tc>
          <w:tcPr>
            <w:tcW w:w="1385" w:type="dxa"/>
            <w:vMerge w:val="continue"/>
          </w:tcPr>
          <w:p w14:paraId="3880573B">
            <w:pPr>
              <w:rPr>
                <w:rFonts w:hint="eastAsia" w:ascii="仿宋_GB2312" w:hAnsi="仿宋_GB2312" w:eastAsia="仿宋_GB2312" w:cs="仿宋_GB2312"/>
                <w:sz w:val="21"/>
                <w:szCs w:val="21"/>
                <w:vertAlign w:val="baseline"/>
                <w:lang w:val="en-US" w:eastAsia="zh-CN"/>
              </w:rPr>
            </w:pPr>
          </w:p>
        </w:tc>
        <w:tc>
          <w:tcPr>
            <w:tcW w:w="2153" w:type="dxa"/>
            <w:vMerge w:val="continue"/>
          </w:tcPr>
          <w:p w14:paraId="316D9152">
            <w:pPr>
              <w:rPr>
                <w:rFonts w:hint="eastAsia" w:ascii="仿宋_GB2312" w:hAnsi="仿宋_GB2312" w:eastAsia="仿宋_GB2312" w:cs="仿宋_GB2312"/>
                <w:sz w:val="21"/>
                <w:szCs w:val="21"/>
                <w:vertAlign w:val="baseline"/>
                <w:lang w:val="en-US" w:eastAsia="zh-CN"/>
              </w:rPr>
            </w:pPr>
          </w:p>
        </w:tc>
        <w:tc>
          <w:tcPr>
            <w:tcW w:w="1194" w:type="dxa"/>
            <w:vAlign w:val="center"/>
          </w:tcPr>
          <w:p w14:paraId="3CE9A17F">
            <w:pPr>
              <w:jc w:val="center"/>
              <w:rPr>
                <w:rFonts w:hint="eastAsia"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一般处罚</w:t>
            </w:r>
          </w:p>
        </w:tc>
        <w:tc>
          <w:tcPr>
            <w:tcW w:w="3866" w:type="dxa"/>
            <w:vAlign w:val="center"/>
          </w:tcPr>
          <w:p w14:paraId="2C3C2D8A">
            <w:pPr>
              <w:rPr>
                <w:rFonts w:hint="eastAsia" w:ascii="宋体" w:hAnsi="宋体" w:cs="宋体"/>
                <w:color w:val="000000"/>
                <w:spacing w:val="8"/>
                <w:szCs w:val="21"/>
              </w:rPr>
            </w:pPr>
            <w:r>
              <w:rPr>
                <w:rFonts w:hint="eastAsia" w:ascii="宋体" w:hAnsi="宋体" w:cs="宋体"/>
                <w:color w:val="000000"/>
                <w:spacing w:val="8"/>
                <w:szCs w:val="21"/>
              </w:rPr>
              <w:t>违反强制性条文</w:t>
            </w:r>
            <w:r>
              <w:rPr>
                <w:rFonts w:hint="eastAsia" w:ascii="宋体" w:hAnsi="宋体" w:cs="宋体"/>
                <w:color w:val="000000"/>
                <w:spacing w:val="8"/>
                <w:szCs w:val="21"/>
                <w:lang w:eastAsia="zh-CN"/>
              </w:rPr>
              <w:t>两条以上</w:t>
            </w:r>
            <w:r>
              <w:rPr>
                <w:rFonts w:hint="eastAsia" w:ascii="宋体" w:hAnsi="宋体" w:cs="宋体"/>
                <w:color w:val="000000"/>
                <w:spacing w:val="8"/>
                <w:szCs w:val="21"/>
              </w:rPr>
              <w:t>五条以下，或者违反非强制性条文不合格项四条以上八条以下的，或者违反强制条文和非强制条文共四条以上八条以下的</w:t>
            </w:r>
          </w:p>
        </w:tc>
        <w:tc>
          <w:tcPr>
            <w:tcW w:w="1851" w:type="dxa"/>
            <w:vAlign w:val="center"/>
          </w:tcPr>
          <w:p w14:paraId="44395888">
            <w:pPr>
              <w:rPr>
                <w:rFonts w:hint="eastAsia" w:ascii="宋体" w:hAnsi="宋体" w:cs="宋体"/>
                <w:color w:val="000000"/>
                <w:spacing w:val="8"/>
                <w:szCs w:val="21"/>
              </w:rPr>
            </w:pPr>
            <w:r>
              <w:rPr>
                <w:rFonts w:hint="eastAsia" w:ascii="宋体" w:hAnsi="宋体" w:cs="宋体"/>
                <w:color w:val="000000"/>
                <w:spacing w:val="8"/>
                <w:szCs w:val="21"/>
              </w:rPr>
              <w:t>责令改正或者停止施工，并处三万元以上五万元以下罚款</w:t>
            </w:r>
          </w:p>
        </w:tc>
        <w:tc>
          <w:tcPr>
            <w:tcW w:w="901" w:type="dxa"/>
            <w:vMerge w:val="continue"/>
          </w:tcPr>
          <w:p w14:paraId="5E1AC160">
            <w:pPr>
              <w:rPr>
                <w:rFonts w:hint="eastAsia" w:ascii="仿宋_GB2312" w:hAnsi="仿宋_GB2312" w:eastAsia="仿宋_GB2312" w:cs="仿宋_GB2312"/>
                <w:sz w:val="21"/>
                <w:szCs w:val="21"/>
                <w:vertAlign w:val="baseline"/>
                <w:lang w:val="en-US" w:eastAsia="zh-CN"/>
              </w:rPr>
            </w:pPr>
          </w:p>
        </w:tc>
        <w:tc>
          <w:tcPr>
            <w:tcW w:w="1144" w:type="dxa"/>
            <w:vMerge w:val="continue"/>
          </w:tcPr>
          <w:p w14:paraId="6837BA4F">
            <w:pPr>
              <w:rPr>
                <w:rFonts w:hint="eastAsia" w:ascii="仿宋_GB2312" w:hAnsi="仿宋_GB2312" w:eastAsia="仿宋_GB2312" w:cs="仿宋_GB2312"/>
                <w:sz w:val="21"/>
                <w:szCs w:val="21"/>
                <w:vertAlign w:val="baseline"/>
                <w:lang w:val="en-US" w:eastAsia="zh-CN"/>
              </w:rPr>
            </w:pPr>
          </w:p>
        </w:tc>
      </w:tr>
      <w:tr w14:paraId="29CB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1022" w:type="dxa"/>
            <w:vMerge w:val="continue"/>
          </w:tcPr>
          <w:p w14:paraId="3063CAEA">
            <w:pPr>
              <w:rPr>
                <w:rFonts w:hint="eastAsia" w:ascii="仿宋_GB2312" w:hAnsi="仿宋_GB2312" w:eastAsia="仿宋_GB2312" w:cs="仿宋_GB2312"/>
                <w:sz w:val="21"/>
                <w:szCs w:val="21"/>
                <w:vertAlign w:val="baseline"/>
                <w:lang w:val="en-US" w:eastAsia="zh-CN"/>
              </w:rPr>
            </w:pPr>
          </w:p>
        </w:tc>
        <w:tc>
          <w:tcPr>
            <w:tcW w:w="1385" w:type="dxa"/>
            <w:vMerge w:val="continue"/>
          </w:tcPr>
          <w:p w14:paraId="7BDE6C97">
            <w:pPr>
              <w:rPr>
                <w:rFonts w:hint="eastAsia" w:ascii="仿宋_GB2312" w:hAnsi="仿宋_GB2312" w:eastAsia="仿宋_GB2312" w:cs="仿宋_GB2312"/>
                <w:sz w:val="21"/>
                <w:szCs w:val="21"/>
                <w:vertAlign w:val="baseline"/>
                <w:lang w:val="en-US" w:eastAsia="zh-CN"/>
              </w:rPr>
            </w:pPr>
          </w:p>
        </w:tc>
        <w:tc>
          <w:tcPr>
            <w:tcW w:w="2153" w:type="dxa"/>
            <w:vMerge w:val="continue"/>
          </w:tcPr>
          <w:p w14:paraId="583B3295">
            <w:pPr>
              <w:rPr>
                <w:rFonts w:hint="eastAsia" w:ascii="仿宋_GB2312" w:hAnsi="仿宋_GB2312" w:eastAsia="仿宋_GB2312" w:cs="仿宋_GB2312"/>
                <w:sz w:val="21"/>
                <w:szCs w:val="21"/>
                <w:vertAlign w:val="baseline"/>
                <w:lang w:val="en-US" w:eastAsia="zh-CN"/>
              </w:rPr>
            </w:pPr>
          </w:p>
        </w:tc>
        <w:tc>
          <w:tcPr>
            <w:tcW w:w="1194" w:type="dxa"/>
            <w:vAlign w:val="center"/>
          </w:tcPr>
          <w:p w14:paraId="0144829C">
            <w:pPr>
              <w:jc w:val="center"/>
              <w:rPr>
                <w:rFonts w:hint="default" w:ascii="楷体_GB2312" w:hAnsi="楷体_GB2312" w:eastAsia="楷体_GB2312" w:cs="楷体_GB2312"/>
                <w:sz w:val="21"/>
                <w:szCs w:val="21"/>
                <w:vertAlign w:val="baseline"/>
                <w:lang w:val="en-US" w:eastAsia="zh-CN"/>
              </w:rPr>
            </w:pPr>
            <w:r>
              <w:rPr>
                <w:rFonts w:hint="eastAsia" w:ascii="楷体_GB2312" w:hAnsi="楷体_GB2312" w:eastAsia="楷体_GB2312" w:cs="楷体_GB2312"/>
                <w:sz w:val="21"/>
                <w:szCs w:val="21"/>
                <w:vertAlign w:val="baseline"/>
                <w:lang w:val="en-US" w:eastAsia="zh-CN"/>
              </w:rPr>
              <w:t>从重处罚</w:t>
            </w:r>
          </w:p>
        </w:tc>
        <w:tc>
          <w:tcPr>
            <w:tcW w:w="3866" w:type="dxa"/>
            <w:vAlign w:val="center"/>
          </w:tcPr>
          <w:p w14:paraId="2CD1C8C7">
            <w:pPr>
              <w:rPr>
                <w:rFonts w:hint="eastAsia" w:ascii="宋体" w:hAnsi="宋体" w:cs="宋体"/>
                <w:color w:val="000000"/>
                <w:spacing w:val="8"/>
                <w:szCs w:val="21"/>
                <w:lang w:val="en-US" w:eastAsia="zh-CN"/>
              </w:rPr>
            </w:pPr>
            <w:r>
              <w:rPr>
                <w:rFonts w:hint="eastAsia" w:ascii="宋体" w:hAnsi="宋体" w:cs="宋体"/>
                <w:color w:val="000000"/>
                <w:spacing w:val="8"/>
                <w:szCs w:val="21"/>
              </w:rPr>
              <w:t>违反强制性条文不合格项五条以上，或违反非强制性条文不合格八条以上的，或者违反强制条文和非强制条文共八条以上的</w:t>
            </w:r>
          </w:p>
        </w:tc>
        <w:tc>
          <w:tcPr>
            <w:tcW w:w="1851" w:type="dxa"/>
            <w:vAlign w:val="center"/>
          </w:tcPr>
          <w:p w14:paraId="01651668">
            <w:pPr>
              <w:rPr>
                <w:rFonts w:hint="eastAsia" w:ascii="宋体" w:hAnsi="宋体" w:cs="宋体"/>
                <w:color w:val="000000"/>
                <w:spacing w:val="8"/>
                <w:szCs w:val="21"/>
                <w:lang w:val="en-US" w:eastAsia="zh-CN"/>
              </w:rPr>
            </w:pPr>
            <w:r>
              <w:rPr>
                <w:rFonts w:hint="eastAsia" w:ascii="宋体" w:hAnsi="宋体" w:cs="宋体"/>
                <w:color w:val="000000"/>
                <w:spacing w:val="8"/>
                <w:szCs w:val="21"/>
              </w:rPr>
              <w:t>责令改正或者停止施工，并处五万元以上十万元以下罚款</w:t>
            </w:r>
          </w:p>
        </w:tc>
        <w:tc>
          <w:tcPr>
            <w:tcW w:w="901" w:type="dxa"/>
            <w:vMerge w:val="continue"/>
          </w:tcPr>
          <w:p w14:paraId="3557CACE">
            <w:pPr>
              <w:rPr>
                <w:rFonts w:hint="eastAsia" w:ascii="仿宋_GB2312" w:hAnsi="仿宋_GB2312" w:eastAsia="仿宋_GB2312" w:cs="仿宋_GB2312"/>
                <w:sz w:val="21"/>
                <w:szCs w:val="21"/>
                <w:vertAlign w:val="baseline"/>
                <w:lang w:val="en-US" w:eastAsia="zh-CN"/>
              </w:rPr>
            </w:pPr>
          </w:p>
        </w:tc>
        <w:tc>
          <w:tcPr>
            <w:tcW w:w="1144" w:type="dxa"/>
            <w:vMerge w:val="continue"/>
          </w:tcPr>
          <w:p w14:paraId="56CFC04D">
            <w:pPr>
              <w:rPr>
                <w:rFonts w:hint="eastAsia" w:ascii="仿宋_GB2312" w:hAnsi="仿宋_GB2312" w:eastAsia="仿宋_GB2312" w:cs="仿宋_GB2312"/>
                <w:sz w:val="21"/>
                <w:szCs w:val="21"/>
                <w:vertAlign w:val="baseline"/>
                <w:lang w:val="en-US" w:eastAsia="zh-CN"/>
              </w:rPr>
            </w:pPr>
          </w:p>
        </w:tc>
      </w:tr>
    </w:tbl>
    <w:p w14:paraId="16F39BC9">
      <w:pPr>
        <w:pStyle w:val="2"/>
        <w:ind w:left="0" w:leftChars="0" w:firstLine="0" w:firstLineChars="0"/>
        <w:jc w:val="both"/>
        <w:rPr>
          <w:rFonts w:hint="eastAsia" w:ascii="方正小标宋简体" w:hAnsi="方正小标宋简体" w:eastAsia="方正小标宋简体" w:cs="方正小标宋简体"/>
          <w:sz w:val="44"/>
          <w:szCs w:val="44"/>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NWQ1ZDhmMDA2MTViOGU2ZTQwMGU1ODhjNTQwMWQifQ=="/>
  </w:docVars>
  <w:rsids>
    <w:rsidRoot w:val="00000000"/>
    <w:rsid w:val="001D4206"/>
    <w:rsid w:val="001F3ADA"/>
    <w:rsid w:val="004A625F"/>
    <w:rsid w:val="0050105C"/>
    <w:rsid w:val="00621C19"/>
    <w:rsid w:val="00991ADF"/>
    <w:rsid w:val="009D0EA3"/>
    <w:rsid w:val="009E1C95"/>
    <w:rsid w:val="00AB35C0"/>
    <w:rsid w:val="00CD1788"/>
    <w:rsid w:val="01050196"/>
    <w:rsid w:val="011D3433"/>
    <w:rsid w:val="015E6884"/>
    <w:rsid w:val="01826A17"/>
    <w:rsid w:val="018C1643"/>
    <w:rsid w:val="01A4698D"/>
    <w:rsid w:val="01AC5842"/>
    <w:rsid w:val="01B777CD"/>
    <w:rsid w:val="022942BC"/>
    <w:rsid w:val="026E2AF7"/>
    <w:rsid w:val="02B726F0"/>
    <w:rsid w:val="02BF3964"/>
    <w:rsid w:val="031A4A2D"/>
    <w:rsid w:val="03215DBB"/>
    <w:rsid w:val="036D2DAF"/>
    <w:rsid w:val="038971B1"/>
    <w:rsid w:val="04073203"/>
    <w:rsid w:val="04785EAF"/>
    <w:rsid w:val="049E317D"/>
    <w:rsid w:val="04C904B8"/>
    <w:rsid w:val="05243941"/>
    <w:rsid w:val="056A1C9B"/>
    <w:rsid w:val="057743B8"/>
    <w:rsid w:val="0599432F"/>
    <w:rsid w:val="05E355AA"/>
    <w:rsid w:val="0608414F"/>
    <w:rsid w:val="06640499"/>
    <w:rsid w:val="06824DC3"/>
    <w:rsid w:val="069214A7"/>
    <w:rsid w:val="069331B4"/>
    <w:rsid w:val="06F757B1"/>
    <w:rsid w:val="071D689A"/>
    <w:rsid w:val="07504EC1"/>
    <w:rsid w:val="07A9481B"/>
    <w:rsid w:val="082C3238"/>
    <w:rsid w:val="08D51B22"/>
    <w:rsid w:val="08FF094D"/>
    <w:rsid w:val="092462DC"/>
    <w:rsid w:val="09475E50"/>
    <w:rsid w:val="0969226A"/>
    <w:rsid w:val="097906FF"/>
    <w:rsid w:val="09975029"/>
    <w:rsid w:val="09BC05EC"/>
    <w:rsid w:val="09FC30DE"/>
    <w:rsid w:val="0A3906EF"/>
    <w:rsid w:val="0A402FCB"/>
    <w:rsid w:val="0ABD0ABF"/>
    <w:rsid w:val="0B27418B"/>
    <w:rsid w:val="0B297F03"/>
    <w:rsid w:val="0B381EF4"/>
    <w:rsid w:val="0BB21CA6"/>
    <w:rsid w:val="0BE04A65"/>
    <w:rsid w:val="0C1C1816"/>
    <w:rsid w:val="0C3863CC"/>
    <w:rsid w:val="0C417183"/>
    <w:rsid w:val="0C837F8F"/>
    <w:rsid w:val="0D0E5602"/>
    <w:rsid w:val="0D116EA1"/>
    <w:rsid w:val="0D4A5F0F"/>
    <w:rsid w:val="0DED346A"/>
    <w:rsid w:val="0E213113"/>
    <w:rsid w:val="0E341099"/>
    <w:rsid w:val="0E5C239D"/>
    <w:rsid w:val="0E7202A7"/>
    <w:rsid w:val="0E811D9B"/>
    <w:rsid w:val="0EBD108E"/>
    <w:rsid w:val="0EC129B7"/>
    <w:rsid w:val="0EC5410C"/>
    <w:rsid w:val="0F4E618A"/>
    <w:rsid w:val="0FA43FFC"/>
    <w:rsid w:val="0FA933C0"/>
    <w:rsid w:val="0FAB538A"/>
    <w:rsid w:val="0FCE1079"/>
    <w:rsid w:val="0FDA7A1E"/>
    <w:rsid w:val="10033202"/>
    <w:rsid w:val="10262C63"/>
    <w:rsid w:val="1041184B"/>
    <w:rsid w:val="106018D4"/>
    <w:rsid w:val="10717F52"/>
    <w:rsid w:val="10BE4C49"/>
    <w:rsid w:val="10DE709A"/>
    <w:rsid w:val="10EB5C1D"/>
    <w:rsid w:val="111E5A3E"/>
    <w:rsid w:val="11673533"/>
    <w:rsid w:val="11E903EC"/>
    <w:rsid w:val="12413D84"/>
    <w:rsid w:val="12810624"/>
    <w:rsid w:val="12BC340B"/>
    <w:rsid w:val="12D44BF8"/>
    <w:rsid w:val="12F56162"/>
    <w:rsid w:val="133B23ED"/>
    <w:rsid w:val="133B6A25"/>
    <w:rsid w:val="137837D5"/>
    <w:rsid w:val="13CE33F5"/>
    <w:rsid w:val="14312CC5"/>
    <w:rsid w:val="14327E28"/>
    <w:rsid w:val="144C1398"/>
    <w:rsid w:val="14904B4F"/>
    <w:rsid w:val="14AD3953"/>
    <w:rsid w:val="14C02644"/>
    <w:rsid w:val="14C868BA"/>
    <w:rsid w:val="14D7452C"/>
    <w:rsid w:val="14EA24B1"/>
    <w:rsid w:val="15015A4D"/>
    <w:rsid w:val="1536455A"/>
    <w:rsid w:val="157D50D3"/>
    <w:rsid w:val="158D108E"/>
    <w:rsid w:val="163F682C"/>
    <w:rsid w:val="166B13D0"/>
    <w:rsid w:val="16897AA8"/>
    <w:rsid w:val="16AB3EC2"/>
    <w:rsid w:val="16D50F3F"/>
    <w:rsid w:val="17926018"/>
    <w:rsid w:val="17A34B99"/>
    <w:rsid w:val="17E53404"/>
    <w:rsid w:val="181D2B9D"/>
    <w:rsid w:val="184243B2"/>
    <w:rsid w:val="18510A99"/>
    <w:rsid w:val="185365BF"/>
    <w:rsid w:val="18641C53"/>
    <w:rsid w:val="18A62B93"/>
    <w:rsid w:val="18D3325C"/>
    <w:rsid w:val="18EE62E8"/>
    <w:rsid w:val="19185113"/>
    <w:rsid w:val="191A70DD"/>
    <w:rsid w:val="192D6E10"/>
    <w:rsid w:val="194554A2"/>
    <w:rsid w:val="19567840"/>
    <w:rsid w:val="19AD0D9F"/>
    <w:rsid w:val="19D77251"/>
    <w:rsid w:val="19ED659F"/>
    <w:rsid w:val="1A5F2FF9"/>
    <w:rsid w:val="1A9D6217"/>
    <w:rsid w:val="1AD75285"/>
    <w:rsid w:val="1AE9320B"/>
    <w:rsid w:val="1B242640"/>
    <w:rsid w:val="1B334486"/>
    <w:rsid w:val="1B446693"/>
    <w:rsid w:val="1B650AE3"/>
    <w:rsid w:val="1B7927E1"/>
    <w:rsid w:val="1BF105C9"/>
    <w:rsid w:val="1C3D55BC"/>
    <w:rsid w:val="1C5172BA"/>
    <w:rsid w:val="1CBC0BD7"/>
    <w:rsid w:val="1CD60F45"/>
    <w:rsid w:val="1CE64509"/>
    <w:rsid w:val="1CFA6572"/>
    <w:rsid w:val="1D3F35B6"/>
    <w:rsid w:val="1D7F1C04"/>
    <w:rsid w:val="1D9E208B"/>
    <w:rsid w:val="1DB752F0"/>
    <w:rsid w:val="1DE877AA"/>
    <w:rsid w:val="1E641526"/>
    <w:rsid w:val="1E77176D"/>
    <w:rsid w:val="1EAA4A5F"/>
    <w:rsid w:val="1EC45B21"/>
    <w:rsid w:val="1EEA12FF"/>
    <w:rsid w:val="1F5A6485"/>
    <w:rsid w:val="1FAD4807"/>
    <w:rsid w:val="201156E9"/>
    <w:rsid w:val="20484530"/>
    <w:rsid w:val="20743577"/>
    <w:rsid w:val="20BF0C96"/>
    <w:rsid w:val="21113B6B"/>
    <w:rsid w:val="21132D8F"/>
    <w:rsid w:val="213E10EC"/>
    <w:rsid w:val="21845A3B"/>
    <w:rsid w:val="21BA4CAF"/>
    <w:rsid w:val="21E169EA"/>
    <w:rsid w:val="22250FCC"/>
    <w:rsid w:val="22274D44"/>
    <w:rsid w:val="222F1E4B"/>
    <w:rsid w:val="225C2514"/>
    <w:rsid w:val="22B660C8"/>
    <w:rsid w:val="22B934C3"/>
    <w:rsid w:val="231921B3"/>
    <w:rsid w:val="233A4603"/>
    <w:rsid w:val="23843AD1"/>
    <w:rsid w:val="23C74A01"/>
    <w:rsid w:val="245A3AC1"/>
    <w:rsid w:val="2472601F"/>
    <w:rsid w:val="24A73F1B"/>
    <w:rsid w:val="24A92559"/>
    <w:rsid w:val="2519649B"/>
    <w:rsid w:val="25201F1F"/>
    <w:rsid w:val="252C2672"/>
    <w:rsid w:val="254774AC"/>
    <w:rsid w:val="25537BFE"/>
    <w:rsid w:val="257E2241"/>
    <w:rsid w:val="25C64874"/>
    <w:rsid w:val="25E76599"/>
    <w:rsid w:val="2628108B"/>
    <w:rsid w:val="262D044F"/>
    <w:rsid w:val="265C0D35"/>
    <w:rsid w:val="265D5A85"/>
    <w:rsid w:val="266A277E"/>
    <w:rsid w:val="26865BDB"/>
    <w:rsid w:val="272A498F"/>
    <w:rsid w:val="275F0ADD"/>
    <w:rsid w:val="276A7481"/>
    <w:rsid w:val="27B36DAA"/>
    <w:rsid w:val="27E86D24"/>
    <w:rsid w:val="2802590C"/>
    <w:rsid w:val="280478D6"/>
    <w:rsid w:val="28485A15"/>
    <w:rsid w:val="289E73E3"/>
    <w:rsid w:val="28C72DDD"/>
    <w:rsid w:val="29143B49"/>
    <w:rsid w:val="295E6B72"/>
    <w:rsid w:val="298E38FB"/>
    <w:rsid w:val="29BB2216"/>
    <w:rsid w:val="29C94933"/>
    <w:rsid w:val="29E74DB9"/>
    <w:rsid w:val="2A9E7B6E"/>
    <w:rsid w:val="2ABA427C"/>
    <w:rsid w:val="2ACB6489"/>
    <w:rsid w:val="2ADC0696"/>
    <w:rsid w:val="2AE632C3"/>
    <w:rsid w:val="2B8C3E6A"/>
    <w:rsid w:val="2BD31A99"/>
    <w:rsid w:val="2C1B0FB3"/>
    <w:rsid w:val="2CE453B8"/>
    <w:rsid w:val="2D016192"/>
    <w:rsid w:val="2D045C82"/>
    <w:rsid w:val="2D365C41"/>
    <w:rsid w:val="2DC05D72"/>
    <w:rsid w:val="2DCF6290"/>
    <w:rsid w:val="2DF857E7"/>
    <w:rsid w:val="2E20445D"/>
    <w:rsid w:val="2E56250D"/>
    <w:rsid w:val="2EA17C2D"/>
    <w:rsid w:val="2F4B30D1"/>
    <w:rsid w:val="2F725125"/>
    <w:rsid w:val="2F9C03F4"/>
    <w:rsid w:val="2FC11C09"/>
    <w:rsid w:val="2FE222AB"/>
    <w:rsid w:val="2FEB1E35"/>
    <w:rsid w:val="2FF41FDE"/>
    <w:rsid w:val="301937F3"/>
    <w:rsid w:val="302642E4"/>
    <w:rsid w:val="310B5831"/>
    <w:rsid w:val="31B5579D"/>
    <w:rsid w:val="32583421"/>
    <w:rsid w:val="32747406"/>
    <w:rsid w:val="32B67A1F"/>
    <w:rsid w:val="339A4C4A"/>
    <w:rsid w:val="33DE547F"/>
    <w:rsid w:val="33FE27B0"/>
    <w:rsid w:val="34076784"/>
    <w:rsid w:val="346F4329"/>
    <w:rsid w:val="34B47F8E"/>
    <w:rsid w:val="34C5219B"/>
    <w:rsid w:val="34CE72A2"/>
    <w:rsid w:val="351B4395"/>
    <w:rsid w:val="353F1F4D"/>
    <w:rsid w:val="353F3CFB"/>
    <w:rsid w:val="357A4D33"/>
    <w:rsid w:val="35882896"/>
    <w:rsid w:val="35E93C67"/>
    <w:rsid w:val="362C0A83"/>
    <w:rsid w:val="36533F02"/>
    <w:rsid w:val="36633EA4"/>
    <w:rsid w:val="36A34908"/>
    <w:rsid w:val="36CA3A99"/>
    <w:rsid w:val="371371EE"/>
    <w:rsid w:val="37164F30"/>
    <w:rsid w:val="372E04CB"/>
    <w:rsid w:val="37386C54"/>
    <w:rsid w:val="37EB4955"/>
    <w:rsid w:val="37EF7C5B"/>
    <w:rsid w:val="38832151"/>
    <w:rsid w:val="38877E93"/>
    <w:rsid w:val="38C71F0B"/>
    <w:rsid w:val="38CC7F9C"/>
    <w:rsid w:val="38DB01DF"/>
    <w:rsid w:val="394B7F02"/>
    <w:rsid w:val="39697599"/>
    <w:rsid w:val="39E3559D"/>
    <w:rsid w:val="3A0D3E87"/>
    <w:rsid w:val="3A4122C4"/>
    <w:rsid w:val="3A723FD3"/>
    <w:rsid w:val="3A8D5509"/>
    <w:rsid w:val="3A914FF9"/>
    <w:rsid w:val="3ABB2076"/>
    <w:rsid w:val="3AEC0481"/>
    <w:rsid w:val="3B223EA3"/>
    <w:rsid w:val="3B334302"/>
    <w:rsid w:val="3BBA232E"/>
    <w:rsid w:val="3BCD1BC2"/>
    <w:rsid w:val="3BD57167"/>
    <w:rsid w:val="3C277297"/>
    <w:rsid w:val="3C371BD0"/>
    <w:rsid w:val="3C6109FB"/>
    <w:rsid w:val="3C7544A7"/>
    <w:rsid w:val="3C9E57AB"/>
    <w:rsid w:val="3D08531B"/>
    <w:rsid w:val="3D5D7415"/>
    <w:rsid w:val="3D712EC0"/>
    <w:rsid w:val="3E691DE9"/>
    <w:rsid w:val="3EB412B6"/>
    <w:rsid w:val="3ED731F7"/>
    <w:rsid w:val="3F06588A"/>
    <w:rsid w:val="3F5B45E1"/>
    <w:rsid w:val="3FF322B2"/>
    <w:rsid w:val="400E49F6"/>
    <w:rsid w:val="402204A1"/>
    <w:rsid w:val="40354679"/>
    <w:rsid w:val="40356427"/>
    <w:rsid w:val="40C81FC2"/>
    <w:rsid w:val="40D21EC7"/>
    <w:rsid w:val="40E22965"/>
    <w:rsid w:val="40E541FA"/>
    <w:rsid w:val="40F24318"/>
    <w:rsid w:val="410B53D9"/>
    <w:rsid w:val="41241835"/>
    <w:rsid w:val="413759A7"/>
    <w:rsid w:val="41B17D2F"/>
    <w:rsid w:val="421D3616"/>
    <w:rsid w:val="4230334A"/>
    <w:rsid w:val="423821FE"/>
    <w:rsid w:val="42562684"/>
    <w:rsid w:val="42621029"/>
    <w:rsid w:val="42870A90"/>
    <w:rsid w:val="42963C82"/>
    <w:rsid w:val="42B2733B"/>
    <w:rsid w:val="43574906"/>
    <w:rsid w:val="43813731"/>
    <w:rsid w:val="438F40A0"/>
    <w:rsid w:val="43C024AB"/>
    <w:rsid w:val="44000AFA"/>
    <w:rsid w:val="442A283A"/>
    <w:rsid w:val="445B0426"/>
    <w:rsid w:val="44727C49"/>
    <w:rsid w:val="447A6AFE"/>
    <w:rsid w:val="44817E8C"/>
    <w:rsid w:val="44BC0EC5"/>
    <w:rsid w:val="44BD69EB"/>
    <w:rsid w:val="45014B29"/>
    <w:rsid w:val="452A22D2"/>
    <w:rsid w:val="4568301A"/>
    <w:rsid w:val="458B0897"/>
    <w:rsid w:val="46164604"/>
    <w:rsid w:val="462C5BD6"/>
    <w:rsid w:val="46396545"/>
    <w:rsid w:val="464078D3"/>
    <w:rsid w:val="464A0752"/>
    <w:rsid w:val="46560EA5"/>
    <w:rsid w:val="465C6B5C"/>
    <w:rsid w:val="469D6AD4"/>
    <w:rsid w:val="46B8390E"/>
    <w:rsid w:val="46C202E8"/>
    <w:rsid w:val="46CE4ED9"/>
    <w:rsid w:val="471E7C15"/>
    <w:rsid w:val="47321912"/>
    <w:rsid w:val="4770243A"/>
    <w:rsid w:val="47BB36B5"/>
    <w:rsid w:val="4820176A"/>
    <w:rsid w:val="48604DA3"/>
    <w:rsid w:val="4867383D"/>
    <w:rsid w:val="486F624E"/>
    <w:rsid w:val="48AC74A2"/>
    <w:rsid w:val="48DB11B2"/>
    <w:rsid w:val="48E94252"/>
    <w:rsid w:val="491D214E"/>
    <w:rsid w:val="49616164"/>
    <w:rsid w:val="49935F6C"/>
    <w:rsid w:val="49AF0FF8"/>
    <w:rsid w:val="49D62A28"/>
    <w:rsid w:val="49DE18DD"/>
    <w:rsid w:val="49FF44A7"/>
    <w:rsid w:val="4A9867AD"/>
    <w:rsid w:val="4ABD3CDB"/>
    <w:rsid w:val="4AC42881"/>
    <w:rsid w:val="4B090BDC"/>
    <w:rsid w:val="4B294DDA"/>
    <w:rsid w:val="4B6A69C7"/>
    <w:rsid w:val="4B7C13AE"/>
    <w:rsid w:val="4BB723E6"/>
    <w:rsid w:val="4BC44B03"/>
    <w:rsid w:val="4C5916EF"/>
    <w:rsid w:val="4C645DAD"/>
    <w:rsid w:val="4C675BBA"/>
    <w:rsid w:val="4CBE77A4"/>
    <w:rsid w:val="4D445EFB"/>
    <w:rsid w:val="4D810EFD"/>
    <w:rsid w:val="4DCE1C69"/>
    <w:rsid w:val="4DE82D2A"/>
    <w:rsid w:val="4DF1285B"/>
    <w:rsid w:val="4E0F1419"/>
    <w:rsid w:val="4E37780E"/>
    <w:rsid w:val="4E9E788D"/>
    <w:rsid w:val="4EE07EA5"/>
    <w:rsid w:val="4EE72FE2"/>
    <w:rsid w:val="4F0516BA"/>
    <w:rsid w:val="4F2B61B5"/>
    <w:rsid w:val="4F2C6C47"/>
    <w:rsid w:val="4FE90FDC"/>
    <w:rsid w:val="4FEF7A00"/>
    <w:rsid w:val="500656EA"/>
    <w:rsid w:val="50284AFA"/>
    <w:rsid w:val="504A1A7A"/>
    <w:rsid w:val="507E7976"/>
    <w:rsid w:val="50A70C7B"/>
    <w:rsid w:val="50A8054F"/>
    <w:rsid w:val="50C51101"/>
    <w:rsid w:val="50F639B0"/>
    <w:rsid w:val="5167665C"/>
    <w:rsid w:val="51C413B8"/>
    <w:rsid w:val="51DC0DF8"/>
    <w:rsid w:val="51FA127E"/>
    <w:rsid w:val="52036881"/>
    <w:rsid w:val="521F0CE5"/>
    <w:rsid w:val="52481FEA"/>
    <w:rsid w:val="524D13AE"/>
    <w:rsid w:val="526E77BE"/>
    <w:rsid w:val="52AF02BB"/>
    <w:rsid w:val="52B256B5"/>
    <w:rsid w:val="52B4142D"/>
    <w:rsid w:val="53226CDE"/>
    <w:rsid w:val="53271E3F"/>
    <w:rsid w:val="53373E0C"/>
    <w:rsid w:val="533D7674"/>
    <w:rsid w:val="536B6912"/>
    <w:rsid w:val="538B4884"/>
    <w:rsid w:val="53DD153F"/>
    <w:rsid w:val="53FC7E08"/>
    <w:rsid w:val="5458228C"/>
    <w:rsid w:val="549F7EBB"/>
    <w:rsid w:val="54D9161F"/>
    <w:rsid w:val="54F226E1"/>
    <w:rsid w:val="550146D2"/>
    <w:rsid w:val="5509387F"/>
    <w:rsid w:val="55DB417B"/>
    <w:rsid w:val="56260894"/>
    <w:rsid w:val="56291A71"/>
    <w:rsid w:val="56494582"/>
    <w:rsid w:val="564C5E20"/>
    <w:rsid w:val="56570A4D"/>
    <w:rsid w:val="569F0646"/>
    <w:rsid w:val="56BC6B02"/>
    <w:rsid w:val="56CD6301"/>
    <w:rsid w:val="573945F7"/>
    <w:rsid w:val="57845ED1"/>
    <w:rsid w:val="578678D7"/>
    <w:rsid w:val="578D049F"/>
    <w:rsid w:val="57B45D15"/>
    <w:rsid w:val="57DF4624"/>
    <w:rsid w:val="580B4F0E"/>
    <w:rsid w:val="5851771E"/>
    <w:rsid w:val="589715D5"/>
    <w:rsid w:val="58BD4DB3"/>
    <w:rsid w:val="58C85C32"/>
    <w:rsid w:val="59352B9C"/>
    <w:rsid w:val="59375029"/>
    <w:rsid w:val="59B44408"/>
    <w:rsid w:val="59F42A57"/>
    <w:rsid w:val="5A81078E"/>
    <w:rsid w:val="5A9D3EC4"/>
    <w:rsid w:val="5AD54636"/>
    <w:rsid w:val="5B0E7B48"/>
    <w:rsid w:val="5B242EC8"/>
    <w:rsid w:val="5B984B7F"/>
    <w:rsid w:val="5BB128BF"/>
    <w:rsid w:val="5BFC56AF"/>
    <w:rsid w:val="5C3F445D"/>
    <w:rsid w:val="5C4C5E5B"/>
    <w:rsid w:val="5C4C6B7A"/>
    <w:rsid w:val="5C734107"/>
    <w:rsid w:val="5C8E0F41"/>
    <w:rsid w:val="5C9B365E"/>
    <w:rsid w:val="5CAB38A1"/>
    <w:rsid w:val="5CE172C2"/>
    <w:rsid w:val="5D1E0517"/>
    <w:rsid w:val="5D4F2964"/>
    <w:rsid w:val="5D806521"/>
    <w:rsid w:val="5D88397D"/>
    <w:rsid w:val="5D883BE2"/>
    <w:rsid w:val="5E0A0A9B"/>
    <w:rsid w:val="5E2F22B0"/>
    <w:rsid w:val="5EA93E10"/>
    <w:rsid w:val="5F465B03"/>
    <w:rsid w:val="5F750196"/>
    <w:rsid w:val="5F954394"/>
    <w:rsid w:val="5F9A5E4E"/>
    <w:rsid w:val="5FBF7663"/>
    <w:rsid w:val="5FDA624B"/>
    <w:rsid w:val="604C0BD0"/>
    <w:rsid w:val="605129B1"/>
    <w:rsid w:val="6082700E"/>
    <w:rsid w:val="60940AF0"/>
    <w:rsid w:val="60964868"/>
    <w:rsid w:val="609D5BF6"/>
    <w:rsid w:val="60B97F6A"/>
    <w:rsid w:val="61135EB8"/>
    <w:rsid w:val="615E4641"/>
    <w:rsid w:val="61930DA7"/>
    <w:rsid w:val="61C13B66"/>
    <w:rsid w:val="620A1069"/>
    <w:rsid w:val="62620EA5"/>
    <w:rsid w:val="6271733B"/>
    <w:rsid w:val="627B72A0"/>
    <w:rsid w:val="62FD0BCE"/>
    <w:rsid w:val="631A52DC"/>
    <w:rsid w:val="63E37DC4"/>
    <w:rsid w:val="643B19AE"/>
    <w:rsid w:val="64AF414A"/>
    <w:rsid w:val="64F41B5D"/>
    <w:rsid w:val="652F2B95"/>
    <w:rsid w:val="65346E5E"/>
    <w:rsid w:val="654168CD"/>
    <w:rsid w:val="654E5711"/>
    <w:rsid w:val="65904516"/>
    <w:rsid w:val="659D3FA3"/>
    <w:rsid w:val="65A2780B"/>
    <w:rsid w:val="65F52031"/>
    <w:rsid w:val="66042274"/>
    <w:rsid w:val="661A1A97"/>
    <w:rsid w:val="665A00E6"/>
    <w:rsid w:val="66A575B3"/>
    <w:rsid w:val="66A6332B"/>
    <w:rsid w:val="66D64515"/>
    <w:rsid w:val="67423054"/>
    <w:rsid w:val="67582877"/>
    <w:rsid w:val="67905CB2"/>
    <w:rsid w:val="680E1188"/>
    <w:rsid w:val="68112A26"/>
    <w:rsid w:val="6812449F"/>
    <w:rsid w:val="683F57E5"/>
    <w:rsid w:val="68784853"/>
    <w:rsid w:val="68A37B22"/>
    <w:rsid w:val="69004F74"/>
    <w:rsid w:val="690D143F"/>
    <w:rsid w:val="690D7691"/>
    <w:rsid w:val="691B1DAE"/>
    <w:rsid w:val="695E1C9B"/>
    <w:rsid w:val="69F61ED3"/>
    <w:rsid w:val="6A1A3E14"/>
    <w:rsid w:val="6A5512F0"/>
    <w:rsid w:val="6A8E01AC"/>
    <w:rsid w:val="6AB77892"/>
    <w:rsid w:val="6B282560"/>
    <w:rsid w:val="6B4D0219"/>
    <w:rsid w:val="6B63034A"/>
    <w:rsid w:val="6B6F4633"/>
    <w:rsid w:val="6BD36970"/>
    <w:rsid w:val="6BDF2CE7"/>
    <w:rsid w:val="6C07661A"/>
    <w:rsid w:val="6C6B4DFB"/>
    <w:rsid w:val="6C6E257C"/>
    <w:rsid w:val="6C727F37"/>
    <w:rsid w:val="6CC83FFB"/>
    <w:rsid w:val="6D01750D"/>
    <w:rsid w:val="6DAD4F9F"/>
    <w:rsid w:val="6E1F7C4B"/>
    <w:rsid w:val="6E405E13"/>
    <w:rsid w:val="6E5F273D"/>
    <w:rsid w:val="6E82642B"/>
    <w:rsid w:val="6E9879FD"/>
    <w:rsid w:val="6ED8429D"/>
    <w:rsid w:val="6EFA4403"/>
    <w:rsid w:val="6EFC7F8C"/>
    <w:rsid w:val="6F437969"/>
    <w:rsid w:val="6F7B35A7"/>
    <w:rsid w:val="6F7D52B5"/>
    <w:rsid w:val="6F9208F0"/>
    <w:rsid w:val="6F934F9B"/>
    <w:rsid w:val="6FB16FC8"/>
    <w:rsid w:val="6FD902CD"/>
    <w:rsid w:val="7019691C"/>
    <w:rsid w:val="705116D9"/>
    <w:rsid w:val="70587BE0"/>
    <w:rsid w:val="70904E30"/>
    <w:rsid w:val="70BD374B"/>
    <w:rsid w:val="70C66AA3"/>
    <w:rsid w:val="710B6BAC"/>
    <w:rsid w:val="71153587"/>
    <w:rsid w:val="71BC7EA6"/>
    <w:rsid w:val="721645D1"/>
    <w:rsid w:val="72273572"/>
    <w:rsid w:val="722F0678"/>
    <w:rsid w:val="72850298"/>
    <w:rsid w:val="729329B5"/>
    <w:rsid w:val="734E4B2E"/>
    <w:rsid w:val="73A4112D"/>
    <w:rsid w:val="73DC213A"/>
    <w:rsid w:val="74051691"/>
    <w:rsid w:val="74110EF3"/>
    <w:rsid w:val="742D0BE7"/>
    <w:rsid w:val="74406B6D"/>
    <w:rsid w:val="74A40EAA"/>
    <w:rsid w:val="74AF1309"/>
    <w:rsid w:val="74B66E2F"/>
    <w:rsid w:val="74DD616A"/>
    <w:rsid w:val="74E92D60"/>
    <w:rsid w:val="753A180E"/>
    <w:rsid w:val="758D193E"/>
    <w:rsid w:val="75E31EA6"/>
    <w:rsid w:val="75E35A02"/>
    <w:rsid w:val="760813CB"/>
    <w:rsid w:val="76186CA2"/>
    <w:rsid w:val="76650B0D"/>
    <w:rsid w:val="76815193"/>
    <w:rsid w:val="76C45833"/>
    <w:rsid w:val="76D15C5E"/>
    <w:rsid w:val="77277B70"/>
    <w:rsid w:val="774424D0"/>
    <w:rsid w:val="775546DD"/>
    <w:rsid w:val="77974CF6"/>
    <w:rsid w:val="77E36BD8"/>
    <w:rsid w:val="785D5F3F"/>
    <w:rsid w:val="78615304"/>
    <w:rsid w:val="78915BE9"/>
    <w:rsid w:val="7892370F"/>
    <w:rsid w:val="78FA3665"/>
    <w:rsid w:val="78FE2B52"/>
    <w:rsid w:val="79022643"/>
    <w:rsid w:val="791B3704"/>
    <w:rsid w:val="793D18CD"/>
    <w:rsid w:val="798219D5"/>
    <w:rsid w:val="79D42231"/>
    <w:rsid w:val="79EE03B0"/>
    <w:rsid w:val="7A545120"/>
    <w:rsid w:val="7A6335B5"/>
    <w:rsid w:val="7A804167"/>
    <w:rsid w:val="7AC027B5"/>
    <w:rsid w:val="7AED4647"/>
    <w:rsid w:val="7B1E74DC"/>
    <w:rsid w:val="7B2F16E9"/>
    <w:rsid w:val="7B6969A9"/>
    <w:rsid w:val="7BD76239"/>
    <w:rsid w:val="7BDD1145"/>
    <w:rsid w:val="7C666B4C"/>
    <w:rsid w:val="7C6951A6"/>
    <w:rsid w:val="7CAF2AE1"/>
    <w:rsid w:val="7CE62DB1"/>
    <w:rsid w:val="7CEF1130"/>
    <w:rsid w:val="7D661E5C"/>
    <w:rsid w:val="7D80447E"/>
    <w:rsid w:val="7DAC7021"/>
    <w:rsid w:val="7DCF450B"/>
    <w:rsid w:val="7DF05160"/>
    <w:rsid w:val="7E1A042F"/>
    <w:rsid w:val="7E503E50"/>
    <w:rsid w:val="7E827FDD"/>
    <w:rsid w:val="7EAA17B2"/>
    <w:rsid w:val="7EB02B41"/>
    <w:rsid w:val="7EE54599"/>
    <w:rsid w:val="7EEF18BB"/>
    <w:rsid w:val="7EFC7B34"/>
    <w:rsid w:val="7F7D0C75"/>
    <w:rsid w:val="7FD05E71"/>
    <w:rsid w:val="7FEA5E72"/>
    <w:rsid w:val="7FEB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4">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kern w:val="0"/>
      <w:sz w:val="18"/>
    </w:rPr>
  </w:style>
  <w:style w:type="paragraph" w:styleId="5">
    <w:name w:val="Normal (Web)"/>
    <w:basedOn w:val="1"/>
    <w:unhideWhenUsed/>
    <w:qFormat/>
    <w:uiPriority w:val="99"/>
    <w:pPr>
      <w:widowControl/>
      <w:spacing w:before="100" w:beforeLines="0" w:beforeAutospacing="1" w:after="100" w:afterLines="0" w:afterAutospacing="1"/>
      <w:jc w:val="left"/>
    </w:pPr>
    <w:rPr>
      <w:rFonts w:ascii="宋体" w:cs="宋体"/>
      <w:color w:val="000000"/>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customStyle="1" w:styleId="10">
    <w:name w:val="ht1"/>
    <w:qFormat/>
    <w:uiPriority w:val="0"/>
    <w:rPr>
      <w:rFonts w:ascii="黑体" w:eastAsia="黑体"/>
      <w:b/>
      <w:bCs/>
    </w:rPr>
  </w:style>
  <w:style w:type="character" w:customStyle="1" w:styleId="11">
    <w:name w:val="apple-style-span"/>
    <w:basedOn w:val="8"/>
    <w:qFormat/>
    <w:uiPriority w:val="0"/>
  </w:style>
  <w:style w:type="character" w:customStyle="1" w:styleId="12">
    <w:name w:val="页眉 Char"/>
    <w:link w:val="4"/>
    <w:qFormat/>
    <w:uiPriority w:val="0"/>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6530</Words>
  <Characters>6611</Characters>
  <Lines>0</Lines>
  <Paragraphs>0</Paragraphs>
  <TotalTime>3</TotalTime>
  <ScaleCrop>false</ScaleCrop>
  <LinksUpToDate>false</LinksUpToDate>
  <CharactersWithSpaces>6613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2024-12-26T07:39:31Z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y fmtid="{D5CDD505-2E9C-101B-9397-08002B2CF9AE}" pid="4" name="KSOTemplateDocerSaveRecord">
    <vt:lpwstr>eyJoZGlkIjoiZjc4NWQ1ZDhmMDA2MTViOGU2ZTQwMGU1ODhjNTQwMWQiLCJ1c2VySWQiOiIyMjMzNjM2MTgifQ==</vt:lpwstr>
  </property>
</Properties>
</file>