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ind w:left="0" w:firstLineChars="0" w:firstLine="0"/>
        <w:jc w:val="center"/>
        <w:rPr>
          <w:rFonts w:ascii="方正小标宋简体" w:eastAsia="方正小标宋简体" w:cs="方正小标宋简体" w:hint="eastAsia"/>
          <w:sz w:val="44"/>
          <w:szCs w:val="44"/>
          <w:lang w:eastAsia="zh-CN"/>
        </w:rPr>
      </w:pPr>
      <w:r>
        <w:rPr>
          <w:rFonts w:ascii="方正小标宋简体" w:eastAsia="方正小标宋简体" w:cs="方正小标宋简体" w:hint="eastAsia"/>
          <w:sz w:val="44"/>
          <w:szCs w:val="44"/>
          <w:lang w:eastAsia="zh-CN"/>
        </w:rPr>
        <w:t>《全省住建系统进一步</w:t>
      </w:r>
      <w:r>
        <w:rPr>
          <w:rFonts w:ascii="方正小标宋简体" w:eastAsia="方正小标宋简体" w:cs="方正小标宋简体" w:hint="eastAsia"/>
          <w:sz w:val="44"/>
          <w:szCs w:val="44"/>
        </w:rPr>
        <w:t>深化“证照分离”改革</w:t>
      </w:r>
      <w:r>
        <w:rPr>
          <w:rFonts w:ascii="方正小标宋简体" w:eastAsia="方正小标宋简体" w:cs="方正小标宋简体" w:hint="eastAsia"/>
          <w:sz w:val="44"/>
          <w:szCs w:val="44"/>
          <w:lang w:eastAsia="zh-CN"/>
        </w:rPr>
        <w:t>工作的实施方案》的政策解读</w:t>
      </w:r>
    </w:p>
    <w:p>
      <w:pPr>
        <w:rPr>
          <w:rFonts w:ascii="仿宋" w:eastAsia="仿宋" w:cs="方正小标宋简体" w:hint="eastAsia"/>
          <w:lang w:eastAsia="zh-CN"/>
        </w:rPr>
      </w:pPr>
    </w:p>
    <w:p>
      <w:pPr>
        <w:rPr>
          <w:rFonts w:ascii="仿宋" w:eastAsia="仿宋" w:hint="eastAsia"/>
        </w:rPr>
      </w:pPr>
      <w:r>
        <w:rPr>
          <w:rFonts w:ascii="仿宋" w:eastAsia="仿宋" w:hint="eastAsia"/>
        </w:rPr>
        <w:t>为贯彻落实《国务院关于深化“证照分离”改革进一步激发市场主体发展活力的通知》（国发〔2021〕7号）</w:t>
      </w:r>
      <w:r>
        <w:rPr>
          <w:rFonts w:ascii="仿宋" w:eastAsia="仿宋" w:hint="eastAsia"/>
          <w:lang w:eastAsia="zh-CN"/>
        </w:rPr>
        <w:t>《黑龙江省人民政府关于印发黑龙江省深化“证照分离”改革进一步激发市场主体发展活力实施方案的通知》（黑政规〔2021〕6号）</w:t>
      </w:r>
      <w:r>
        <w:rPr>
          <w:rFonts w:ascii="仿宋" w:eastAsia="仿宋" w:hint="eastAsia"/>
        </w:rPr>
        <w:t>要求，纵深推进</w:t>
      </w:r>
      <w:r>
        <w:rPr>
          <w:rFonts w:ascii="仿宋" w:eastAsia="仿宋" w:hint="eastAsia"/>
          <w:lang w:eastAsia="zh-CN"/>
        </w:rPr>
        <w:t>住建系统</w:t>
      </w:r>
      <w:r>
        <w:rPr>
          <w:rFonts w:ascii="仿宋" w:eastAsia="仿宋" w:hint="eastAsia"/>
        </w:rPr>
        <w:t>“放管服”改革，优化市场主体发展的营商环境，</w:t>
      </w:r>
      <w:r>
        <w:rPr>
          <w:rFonts w:ascii="仿宋" w:eastAsia="仿宋" w:hint="eastAsia"/>
          <w:lang w:eastAsia="zh-CN"/>
        </w:rPr>
        <w:t>按照</w:t>
      </w:r>
      <w:r>
        <w:rPr>
          <w:rFonts w:ascii="仿宋" w:eastAsia="仿宋" w:hint="eastAsia"/>
        </w:rPr>
        <w:t>省政府</w:t>
      </w:r>
      <w:r>
        <w:rPr>
          <w:rFonts w:ascii="仿宋" w:eastAsia="仿宋" w:hint="eastAsia"/>
          <w:lang w:eastAsia="zh-CN"/>
        </w:rPr>
        <w:t>关于</w:t>
      </w:r>
      <w:r>
        <w:rPr>
          <w:rFonts w:ascii="仿宋" w:eastAsia="仿宋" w:hint="eastAsia"/>
        </w:rPr>
        <w:t>全省范围内推行“证照分离”改革全覆盖，在中国（黑龙江）自由贸易试验区（以下简称自贸试验区）加大改革试点力度</w:t>
      </w:r>
      <w:r>
        <w:rPr>
          <w:rFonts w:ascii="仿宋" w:eastAsia="仿宋" w:hint="eastAsia"/>
          <w:lang w:eastAsia="zh-CN"/>
        </w:rPr>
        <w:t>的</w:t>
      </w:r>
      <w:r>
        <w:rPr>
          <w:rFonts w:ascii="仿宋" w:eastAsia="仿宋" w:hint="eastAsia"/>
        </w:rPr>
        <w:t>决定</w:t>
      </w:r>
      <w:r>
        <w:rPr>
          <w:rFonts w:ascii="仿宋" w:eastAsia="仿宋" w:hint="eastAsia"/>
          <w:lang w:eastAsia="zh-CN"/>
        </w:rPr>
        <w:t>，结合住建系统工作实际，</w:t>
      </w:r>
      <w:r>
        <w:rPr>
          <w:rFonts w:ascii="仿宋" w:eastAsia="仿宋"/>
          <w:lang w:eastAsia="zh-CN"/>
        </w:rPr>
        <w:t>我厅</w:t>
      </w:r>
      <w:r>
        <w:rPr>
          <w:rFonts w:ascii="仿宋" w:eastAsia="仿宋" w:hint="eastAsia"/>
        </w:rPr>
        <w:t>制定了《全省住建系统进一步深化“证照分离”改革工作的实施方案》。</w:t>
      </w:r>
    </w:p>
    <w:p>
      <w:pPr>
        <w:rPr>
          <w:rFonts w:ascii="仿宋" w:eastAsia="仿宋" w:cs="楷体" w:hint="eastAsia"/>
          <w:bCs/>
        </w:rPr>
      </w:pPr>
      <w:r>
        <w:rPr>
          <w:rFonts w:ascii="仿宋" w:eastAsia="仿宋" w:cs="楷体" w:hint="eastAsia"/>
          <w:b/>
          <w:bCs/>
        </w:rPr>
        <w:t>一是明确改革方式，大力推动照后减证和简化审批。</w:t>
      </w:r>
      <w:r>
        <w:rPr>
          <w:rFonts w:ascii="仿宋" w:eastAsia="仿宋" w:cs="楷体" w:hint="eastAsia"/>
          <w:bCs/>
        </w:rPr>
        <w:t>按照直接取消审批、审批改备案、实行告知承诺和优化审批服务四种改革方式推进，全省直接取消8项、审批改备案1项、告知承诺1项，优化审批服务17项。在自贸区直接取消1项，实行告知承诺9项。</w:t>
      </w:r>
    </w:p>
    <w:p>
      <w:pPr>
        <w:rPr>
          <w:rStyle w:val="0"/>
          <w:rFonts w:ascii="仿宋" w:eastAsia="仿宋" w:cs="楷体" w:hint="eastAsia"/>
          <w:bCs/>
          <w:bdr w:val="none" w:sz="0" w:space="0" w:color="auto"/>
        </w:rPr>
      </w:pPr>
      <w:r>
        <w:rPr>
          <w:rFonts w:ascii="仿宋" w:eastAsia="仿宋" w:cs="楷体" w:hint="eastAsia"/>
          <w:b/>
          <w:bCs/>
        </w:rPr>
        <w:t>二是</w:t>
      </w:r>
      <w:r>
        <w:rPr>
          <w:rStyle w:val="88"/>
          <w:rFonts w:ascii="仿宋" w:eastAsia="仿宋" w:hint="eastAsia"/>
          <w:b/>
          <w:bCs w:val="0"/>
          <w:i w:val="0"/>
          <w:iCs w:val="0"/>
          <w:caps w:val="0"/>
          <w:smallCaps w:val="0"/>
          <w:vanish w:val="0"/>
          <w:color w:val="333333"/>
          <w:spacing w:val="0"/>
          <w:sz w:val="32"/>
          <w:szCs w:val="32"/>
          <w:bdr w:val="none" w:sz="0" w:space="0" w:color="auto"/>
          <w:vertAlign w:val="baseline"/>
        </w:rPr>
        <w:t>实施涉企经营许可事项清单管理。</w:t>
      </w:r>
      <w:r>
        <w:rPr>
          <w:rStyle w:val="0"/>
          <w:rFonts w:ascii="仿宋" w:eastAsia="仿宋" w:cs="楷体" w:hint="eastAsia"/>
          <w:bCs/>
          <w:bdr w:val="none" w:sz="0" w:space="0" w:color="auto"/>
        </w:rPr>
        <w:t>方案后</w:t>
      </w:r>
      <w:r>
        <w:rPr>
          <w:rStyle w:val="0"/>
          <w:rFonts w:ascii="仿宋" w:eastAsia="仿宋" w:cs="楷体"/>
          <w:bCs/>
          <w:bdr w:val="none" w:sz="0" w:space="0" w:color="auto"/>
        </w:rPr>
        <w:t>附有</w:t>
      </w:r>
      <w:r>
        <w:rPr>
          <w:rStyle w:val="0"/>
          <w:rFonts w:ascii="仿宋" w:eastAsia="仿宋" w:cs="楷体" w:hint="eastAsia"/>
          <w:bCs/>
          <w:bdr w:val="none" w:sz="0" w:space="0" w:color="auto"/>
        </w:rPr>
        <w:t>《黑龙江省住建系统实施的中央层面设定的涉企经营许可事项改革清单》《黑龙江省自贸试验区住建系统实施的中央层面设定的涉企经营许可事项改革清单（2021年版）》，实行清单式管理。</w:t>
      </w:r>
    </w:p>
    <w:p>
      <w:pPr>
        <w:rPr>
          <w:rFonts w:ascii="仿宋" w:eastAsia="仿宋"/>
        </w:rPr>
      </w:pPr>
      <w:r>
        <w:rPr>
          <w:rFonts w:ascii="仿宋" w:eastAsia="仿宋" w:cs="楷体" w:hint="eastAsia"/>
          <w:b/>
          <w:bCs/>
        </w:rPr>
        <w:t>三是加强事中事后监管。</w:t>
      </w:r>
      <w:r>
        <w:rPr>
          <w:rFonts w:ascii="仿宋" w:eastAsia="仿宋" w:hint="eastAsia"/>
        </w:rPr>
        <w:t>按照“谁审批、谁监管，谁主管、谁监管”原则，加强审批与监管的衔接，健全监管规则和标准，完善监管方法和手段，强化日常监管和社会监督，进一步完善以“双随机、一公开”监管为基本手段、以重点监管为补充、以信用监管为基础的新型监管机制。</w:t>
      </w:r>
      <w:bookmarkStart w:id="0" w:name="_GoBack"/>
      <w:bookmarkEnd w:id="0"/>
    </w:p>
    <w:p>
      <w:pPr>
        <w:rPr>
          <w:rFonts w:ascii="仿宋" w:eastAsia="仿宋"/>
        </w:rPr>
      </w:pPr>
    </w:p>
    <w:p>
      <w:pPr>
        <w:pStyle w:val="2"/>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jc w:val="center"/>
        <w:textAlignment w:val="baseline"/>
        <w:outlineLvl w:val="1"/>
        <w:rPr>
          <w:rFonts w:ascii="方正小标宋简体" w:eastAsia="方正小标宋简体" w:hint="eastAsia"/>
          <w:b w:val="0"/>
          <w:i w:val="0"/>
          <w:iCs w:val="0"/>
          <w:vanish w:val="0"/>
          <w:color w:val="333333"/>
          <w:sz w:val="44"/>
          <w:szCs w:val="44"/>
          <w:vertAlign w:val="baseline"/>
        </w:rPr>
      </w:pPr>
      <w:r>
        <w:rPr>
          <w:rFonts w:ascii="方正小标宋简体" w:eastAsia="方正小标宋简体" w:hint="eastAsia"/>
          <w:b w:val="0"/>
          <w:i w:val="0"/>
          <w:iCs w:val="0"/>
          <w:vanish w:val="0"/>
          <w:color w:val="333333"/>
          <w:sz w:val="44"/>
          <w:szCs w:val="44"/>
          <w:vertAlign w:val="baseline"/>
        </w:rPr>
        <w:t>黑龙江省住房和城乡建设厅关于印发《全省住建系统进一步深化“证照分离”改革</w:t>
      </w:r>
      <w:r>
        <w:rPr>
          <w:rFonts w:ascii="Microsoft YaHei" w:eastAsia="方正小标宋简体" w:hAnsi="Microsoft YaHei" w:hint="eastAsia"/>
          <w:b w:val="0"/>
          <w:i w:val="0"/>
          <w:iCs w:val="0"/>
          <w:vanish w:val="0"/>
          <w:color w:val="333333"/>
          <w:sz w:val="44"/>
          <w:szCs w:val="44"/>
          <w:vertAlign w:val="baseline"/>
        </w:rPr>
        <w:t> </w:t>
      </w:r>
      <w:r>
        <w:rPr>
          <w:rFonts w:ascii="方正小标宋简体" w:eastAsia="方正小标宋简体" w:hint="eastAsia"/>
          <w:b w:val="0"/>
          <w:i w:val="0"/>
          <w:iCs w:val="0"/>
          <w:vanish w:val="0"/>
          <w:color w:val="333333"/>
          <w:sz w:val="44"/>
          <w:szCs w:val="44"/>
          <w:vertAlign w:val="baseline"/>
        </w:rPr>
        <w:t>的工作方案》的通知</w:t>
      </w:r>
    </w:p>
    <w:p>
      <w:pPr>
        <w:rPr>
          <w:rFonts w:ascii="仿宋" w:eastAsia="仿宋" w:hint="eastAsia"/>
        </w:rPr>
      </w:pPr>
      <w:r>
        <w:pgNum/>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center"/>
        <w:textAlignment w:val="baseline"/>
        <w:rPr>
          <w:rFonts w:ascii="仿宋" w:eastAsia="仿宋" w:hint="eastAsia"/>
          <w:b w:val="0"/>
          <w:bCs w:val="0"/>
          <w:i w:val="0"/>
          <w:iCs w:val="0"/>
          <w:caps w:val="0"/>
          <w:smallCaps w:val="0"/>
          <w:vanish w:val="0"/>
          <w:color w:val="333333"/>
          <w:spacing w:val="0"/>
          <w:sz w:val="32"/>
          <w:szCs w:val="32"/>
          <w:vertAlign w:val="baseline"/>
        </w:rPr>
      </w:pPr>
      <w:r>
        <w:rPr>
          <w:rFonts w:ascii="仿宋" w:eastAsia="仿宋" w:hint="eastAsia"/>
          <w:b w:val="0"/>
          <w:bCs w:val="0"/>
          <w:i w:val="0"/>
          <w:iCs w:val="0"/>
          <w:caps w:val="0"/>
          <w:smallCaps w:val="0"/>
          <w:vanish w:val="0"/>
          <w:color w:val="333333"/>
          <w:spacing w:val="0"/>
          <w:sz w:val="32"/>
          <w:szCs w:val="32"/>
          <w:vertAlign w:val="baseline"/>
        </w:rPr>
        <w:t>黑建法〔2021〕10号</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center"/>
        <w:textAlignment w:val="baseline"/>
        <w:rPr>
          <w:rFonts w:ascii="Microsoft YaHei" w:eastAsia="仿宋" w:hAnsi="Microsoft YaHei" w:hint="eastAsia"/>
          <w:b w:val="0"/>
          <w:bCs w:val="0"/>
          <w:i w:val="0"/>
          <w:iCs w:val="0"/>
          <w:caps w:val="0"/>
          <w:smallCaps w:val="0"/>
          <w:vanish w:val="0"/>
          <w:color w:val="333333"/>
          <w:spacing w:val="0"/>
          <w:sz w:val="32"/>
          <w:szCs w:val="32"/>
          <w:vertAlign w:val="baseline"/>
        </w:rPr>
      </w:pPr>
      <w:r>
        <w:rPr>
          <w:rFonts w:ascii="仿宋" w:eastAsia="仿宋" w:hint="eastAsia"/>
          <w:b w:val="0"/>
          <w:bCs w:val="0"/>
          <w:i w:val="0"/>
          <w:iCs w:val="0"/>
          <w:caps w:val="0"/>
          <w:smallCaps w:val="0"/>
          <w:vanish w:val="0"/>
          <w:color w:val="333333"/>
          <w:spacing w:val="0"/>
          <w:sz w:val="32"/>
          <w:szCs w:val="32"/>
          <w:vertAlign w:val="baseline"/>
        </w:rPr>
        <mc:AlternateContent>
          <mc:Choice Requires="wps">
            <w:drawing>
              <wp:inline distT="0" distB="0" distL="85723" distR="85723">
                <wp:extent cx="7019818" cy="28574"/>
                <wp:effectExtent l="0" t="0" r="0" b="0"/>
                <wp:docPr id="1" name="图片"/>
                <wp:cNvGraphicFramePr>
                  <a:graphicFrameLocks noChangeAspect="0"/>
                </wp:cNvGraphicFramePr>
                <a:graphic>
                  <a:graphicData uri="http://schemas.microsoft.com/office/word/2010/wordprocessingShape">
                    <wps:wsp>
                      <wps:cNvSpPr>
                        <a:spLocks noChangeAspect="1" noChangeArrowheads="1"/>
                      </wps:cNvSpPr>
                      <wps:spPr bwMode="auto">
                        <a:xfrm>
                          <a:off x="0" y="0"/>
                          <a:ext cx="7019818" cy="28574"/>
                        </a:xfrm>
                        <a:prstGeom prst="rect">
                          <a:avLst/>
                        </a:prstGeom>
                        <a:noFill/>
                        <a:ln>
                          <a:noFill/>
                        </a:ln>
                      </wps:spPr>
                      <wps:bodyPr/>
                    </wps:wsp>
                  </a:graphicData>
                </a:graphic>
              </wp:inline>
            </w:drawing>
          </mc:Choice>
          <mc:Fallback>
            <w:pict>
              <v:shape type="#_x0000_t75" id="图片 3" o:spid="_x0000_s3" filled="f" stroked="f" style="width:552.7416pt;height:2.2499657pt;">
                <v:stroke color="#000000"/>
                <v:imagedata/>
                <w10:anchorLock/>
              </v:shape>
            </w:pict>
          </mc:Fallback>
        </mc:AlternateContent>
      </w:r>
      <w:r>
        <w:rPr>
          <w:rFonts w:ascii="Microsoft YaHei" w:eastAsia="仿宋" w:hAnsi="Microsoft YaHei" w:hint="eastAsia"/>
          <w:b w:val="0"/>
          <w:bCs w:val="0"/>
          <w:i w:val="0"/>
          <w:iCs w:val="0"/>
          <w:caps w:val="0"/>
          <w:smallCaps w:val="0"/>
          <w:vanish w:val="0"/>
          <w:color w:val="333333"/>
          <w:spacing w:val="0"/>
          <w:sz w:val="32"/>
          <w:szCs w:val="32"/>
          <w:vertAlign w:val="baseline"/>
        </w:rPr>
        <w:t> </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Microsoft YaHei" w:eastAsia="仿宋" w:hAnsi="Microsoft YaHei"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Fonts w:ascii="仿宋" w:eastAsia="仿宋" w:hint="eastAsia"/>
          <w:b w:val="0"/>
          <w:bCs w:val="0"/>
          <w:i w:val="0"/>
          <w:iCs w:val="0"/>
          <w:caps w:val="0"/>
          <w:smallCaps w:val="0"/>
          <w:vanish w:val="0"/>
          <w:color w:val="333333"/>
          <w:spacing w:val="0"/>
          <w:sz w:val="32"/>
          <w:szCs w:val="32"/>
          <w:vertAlign w:val="baseline"/>
        </w:rPr>
        <w:t>各市（地）住建局、城管局，哈尔滨新区审批局、住建局、城管局，绥芬河市住建局、城管局：</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xml:space="preserve">        </w:t>
      </w:r>
      <w:r>
        <w:rPr>
          <w:rFonts w:ascii="仿宋" w:eastAsia="仿宋" w:hint="eastAsia"/>
          <w:b w:val="0"/>
          <w:bCs w:val="0"/>
          <w:i w:val="0"/>
          <w:iCs w:val="0"/>
          <w:caps w:val="0"/>
          <w:smallCaps w:val="0"/>
          <w:vanish w:val="0"/>
          <w:color w:val="333333"/>
          <w:spacing w:val="0"/>
          <w:sz w:val="32"/>
          <w:szCs w:val="32"/>
          <w:vertAlign w:val="baseline"/>
        </w:rPr>
        <w:t>现将《全省住建系统进一步深化“证照分离”改革的工作方案》印发给你们，请认真贯彻执行。</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Microsoft YaHei" w:eastAsia="仿宋" w:hAnsi="Microsoft YaHei"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Microsoft YaHei" w:eastAsia="仿宋" w:hAnsi="Microsoft YaHei"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right"/>
        <w:textAlignment w:val="baseline"/>
        <w:rPr>
          <w:rFonts w:ascii="Microsoft YaHei" w:eastAsia="仿宋" w:hAnsi="Microsoft YaHei" w:hint="eastAsia"/>
          <w:b w:val="0"/>
          <w:bCs w:val="0"/>
          <w:i w:val="0"/>
          <w:iCs w:val="0"/>
          <w:caps w:val="0"/>
          <w:smallCaps w:val="0"/>
          <w:vanish w:val="0"/>
          <w:color w:val="333333"/>
          <w:spacing w:val="0"/>
          <w:sz w:val="32"/>
          <w:szCs w:val="32"/>
          <w:vertAlign w:val="baseline"/>
        </w:rPr>
      </w:pPr>
      <w:r>
        <w:rPr>
          <w:rFonts w:ascii="仿宋" w:eastAsia="仿宋" w:hint="eastAsia"/>
          <w:b w:val="0"/>
          <w:bCs w:val="0"/>
          <w:i w:val="0"/>
          <w:iCs w:val="0"/>
          <w:caps w:val="0"/>
          <w:smallCaps w:val="0"/>
          <w:vanish w:val="0"/>
          <w:color w:val="333333"/>
          <w:spacing w:val="0"/>
          <w:sz w:val="32"/>
          <w:szCs w:val="32"/>
          <w:vertAlign w:val="baseline"/>
        </w:rPr>
        <w:t>黑龙江省住房和城乡建设厅</w:t>
      </w:r>
      <w:r>
        <w:rPr>
          <w:rFonts w:ascii="Microsoft YaHei" w:eastAsia="仿宋" w:hAnsi="Microsoft YaHei" w:hint="eastAsia"/>
          <w:b w:val="0"/>
          <w:bCs w:val="0"/>
          <w:i w:val="0"/>
          <w:iCs w:val="0"/>
          <w:caps w:val="0"/>
          <w:smallCaps w:val="0"/>
          <w:vanish w:val="0"/>
          <w:color w:val="333333"/>
          <w:spacing w:val="0"/>
          <w:sz w:val="32"/>
          <w:szCs w:val="32"/>
          <w:vertAlign w:val="baseline"/>
        </w:rPr>
        <w:t>    </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right"/>
        <w:textAlignment w:val="baseline"/>
        <w:rPr>
          <w:rFonts w:ascii="Microsoft YaHei" w:eastAsia="仿宋" w:hAnsi="Microsoft YaHei" w:hint="eastAsia"/>
          <w:b w:val="0"/>
          <w:bCs w:val="0"/>
          <w:i w:val="0"/>
          <w:iCs w:val="0"/>
          <w:caps w:val="0"/>
          <w:smallCaps w:val="0"/>
          <w:vanish w:val="0"/>
          <w:color w:val="333333"/>
          <w:spacing w:val="0"/>
          <w:sz w:val="32"/>
          <w:szCs w:val="32"/>
          <w:vertAlign w:val="baseline"/>
        </w:rPr>
      </w:pPr>
      <w:r>
        <w:rPr>
          <w:rFonts w:ascii="仿宋" w:eastAsia="仿宋" w:hint="eastAsia"/>
          <w:b w:val="0"/>
          <w:bCs w:val="0"/>
          <w:i w:val="0"/>
          <w:iCs w:val="0"/>
          <w:caps w:val="0"/>
          <w:smallCaps w:val="0"/>
          <w:vanish w:val="0"/>
          <w:color w:val="333333"/>
          <w:spacing w:val="0"/>
          <w:sz w:val="32"/>
          <w:szCs w:val="32"/>
          <w:vertAlign w:val="baseline"/>
        </w:rPr>
        <w:t>2021年10月29日</w:t>
      </w:r>
      <w:r>
        <w:rPr>
          <w:rFonts w:ascii="Microsoft YaHei" w:eastAsia="仿宋" w:hAnsi="Microsoft YaHei" w:hint="eastAsia"/>
          <w:b w:val="0"/>
          <w:bCs w:val="0"/>
          <w:i w:val="0"/>
          <w:iCs w:val="0"/>
          <w:caps w:val="0"/>
          <w:smallCaps w:val="0"/>
          <w:vanish w:val="0"/>
          <w:color w:val="333333"/>
          <w:spacing w:val="0"/>
          <w:sz w:val="32"/>
          <w:szCs w:val="32"/>
          <w:vertAlign w:val="baseline"/>
        </w:rPr>
        <w:t>        </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center"/>
        <w:textAlignment w:val="baseline"/>
        <w:rPr>
          <w:rFonts w:ascii="方正小标宋简体" w:eastAsia="方正小标宋简体" w:hint="eastAsia"/>
          <w:i w:val="0"/>
          <w:iCs w:val="0"/>
          <w:caps w:val="0"/>
          <w:smallCaps w:val="0"/>
          <w:vanish w:val="0"/>
          <w:color w:val="333333"/>
          <w:spacing w:val="0"/>
          <w:sz w:val="44"/>
          <w:szCs w:val="44"/>
          <w:vertAlign w:val="baseline"/>
        </w:rPr>
      </w:pPr>
      <w:r>
        <w:rPr>
          <w:rStyle w:val="88"/>
          <w:rFonts w:ascii="方正小标宋简体" w:eastAsia="方正小标宋简体" w:hint="eastAsia"/>
          <w:b w:val="0"/>
          <w:i w:val="0"/>
          <w:iCs w:val="0"/>
          <w:caps w:val="0"/>
          <w:smallCaps w:val="0"/>
          <w:vanish w:val="0"/>
          <w:color w:val="333333"/>
          <w:spacing w:val="0"/>
          <w:sz w:val="44"/>
          <w:szCs w:val="44"/>
          <w:bdr w:val="none" w:sz="0" w:space="0" w:color="auto"/>
          <w:vertAlign w:val="baseline"/>
        </w:rPr>
        <w:t>全省住建系统进一步深化“证照分离”改革的工作方案</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r>
        <w:rPr>
          <w:rFonts w:ascii="仿宋" w:eastAsia="仿宋" w:hint="eastAsia"/>
          <w:b w:val="0"/>
          <w:bCs w:val="0"/>
          <w:i w:val="0"/>
          <w:iCs w:val="0"/>
          <w:caps w:val="0"/>
          <w:smallCaps w:val="0"/>
          <w:vanish w:val="0"/>
          <w:color w:val="333333"/>
          <w:spacing w:val="0"/>
          <w:sz w:val="32"/>
          <w:szCs w:val="32"/>
          <w:vertAlign w:val="baseline"/>
        </w:rPr>
        <w:t>为贯彻落实《国务院关于深化“证照分离”改革进一步激发市场主体发展活力的通知》（国发〔2021〕7号）《黑龙江省人民政府关于印发黑龙江省深化“证照分离”改革进一步激发市场主体发展活力实施方案的通知》（黑政规〔2021〕6号）要求，深入推进住建系统“放管服”改革，优化营商环境，按照省政府关于全省范围内推行“证照分离”改革全覆盖，在中国（黑龙江）自由贸易试验区（以下简称自贸试验区）加大改革试点力度的决定，结合住建系统工作实际，制定本工作方案。</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firstLine="0"/>
        <w:textAlignment w:val="baseline"/>
        <w:rPr>
          <w:rFonts w:ascii="Microsoft YaHei" w:eastAsia="黑体" w:hAnsi="Microsoft YaHei" w:hint="eastAsia"/>
          <w:color w:val="333333"/>
          <w:sz w:val="32"/>
          <w:szCs w:val="32"/>
        </w:rPr>
      </w:pPr>
      <w:r>
        <w:rPr>
          <w:rFonts w:ascii="Microsoft YaHei" w:eastAsia="黑体" w:hAnsi="Microsoft YaHei" w:hint="eastAsia"/>
          <w:color w:val="333333"/>
          <w:sz w:val="32"/>
          <w:szCs w:val="32"/>
        </w:rPr>
        <w:t>       一、总体要求</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r>
        <w:rPr>
          <w:rStyle w:val="88"/>
          <w:rFonts w:ascii="仿宋" w:eastAsia="仿宋" w:hint="eastAsia"/>
          <w:b/>
          <w:bCs w:val="0"/>
          <w:i w:val="0"/>
          <w:iCs w:val="0"/>
          <w:caps w:val="0"/>
          <w:smallCaps w:val="0"/>
          <w:vanish w:val="0"/>
          <w:color w:val="333333"/>
          <w:spacing w:val="0"/>
          <w:sz w:val="32"/>
          <w:szCs w:val="32"/>
          <w:bdr w:val="none" w:sz="0" w:space="0" w:color="auto"/>
          <w:vertAlign w:val="baseline"/>
        </w:rPr>
        <w:t>（一）指导思想。</w:t>
      </w:r>
      <w:r>
        <w:rPr>
          <w:rFonts w:ascii="仿宋" w:eastAsia="仿宋" w:hint="eastAsia"/>
          <w:b w:val="0"/>
          <w:bCs w:val="0"/>
          <w:i w:val="0"/>
          <w:iCs w:val="0"/>
          <w:caps w:val="0"/>
          <w:smallCaps w:val="0"/>
          <w:vanish w:val="0"/>
          <w:color w:val="333333"/>
          <w:spacing w:val="0"/>
          <w:sz w:val="32"/>
          <w:szCs w:val="32"/>
          <w:vertAlign w:val="baseline"/>
        </w:rPr>
        <w:t>以习近平新时代中国特色社会主义思想为指导，全面贯彻党的十九大和十九届二中、三中、四中、五中全会精神，贯彻落实构建以国内大循环为主体、国内国际双循环相互促进的新发展格局要求，持续深化住建系统“放管服”改革，统筹推进行政审批制度改革和商事制度改革，进一步明晰全省住建归口部门和住建领域企业责任，完善简约透明的行业准入规则，在更大范围和更深维度推动住建系统简化审批，创新和加强事中事后监管，进一步优化营商环境，激发市场主体发展活力，推动住建领域各行业高质量发展。</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Chars="250" w:firstLine="80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Style w:val="88"/>
          <w:rFonts w:ascii="仿宋" w:eastAsia="仿宋" w:hint="eastAsia"/>
          <w:b/>
          <w:bCs w:val="0"/>
          <w:i w:val="0"/>
          <w:iCs w:val="0"/>
          <w:caps w:val="0"/>
          <w:smallCaps w:val="0"/>
          <w:vanish w:val="0"/>
          <w:color w:val="333333"/>
          <w:spacing w:val="0"/>
          <w:sz w:val="32"/>
          <w:szCs w:val="32"/>
          <w:bdr w:val="none" w:sz="0" w:space="0" w:color="auto"/>
          <w:vertAlign w:val="baseline"/>
        </w:rPr>
        <w:t>（二）工作目标。</w:t>
      </w:r>
      <w:r>
        <w:rPr>
          <w:rFonts w:ascii="仿宋" w:eastAsia="仿宋" w:hint="eastAsia"/>
          <w:b w:val="0"/>
          <w:bCs w:val="0"/>
          <w:i w:val="0"/>
          <w:iCs w:val="0"/>
          <w:caps w:val="0"/>
          <w:smallCaps w:val="0"/>
          <w:vanish w:val="0"/>
          <w:color w:val="333333"/>
          <w:spacing w:val="0"/>
          <w:sz w:val="32"/>
          <w:szCs w:val="32"/>
          <w:vertAlign w:val="baseline"/>
        </w:rPr>
        <w:t>在全省住建系统范围内实施涉企经营许可事项全覆盖清单管理，按照直接取消审批、审批改为备案、实行告知承诺、优化审批服务等四种方式分类推进审批制度改革，同时在自贸试验区进一步加大住建领域改革试点力度，力争2022年底前建立简约高效、公正透明、宽进严管的行业准营规则，大幅提高市场主体办事的便利度和可预期性。</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黑体" w:eastAsia="黑体" w:hint="eastAsia"/>
          <w:b w:val="0"/>
          <w:bCs w:val="0"/>
          <w:i w:val="0"/>
          <w:iCs w:val="0"/>
          <w:caps w:val="0"/>
          <w:smallCaps w:val="0"/>
          <w:vanish w:val="0"/>
          <w:color w:val="333333"/>
          <w:spacing w:val="0"/>
          <w:sz w:val="32"/>
          <w:szCs w:val="32"/>
          <w:vertAlign w:val="baseline"/>
        </w:rPr>
      </w:pPr>
      <w:r>
        <w:rPr>
          <w:rFonts w:ascii="Microsoft YaHei" w:eastAsia="黑体" w:hAnsi="Microsoft YaHei" w:hint="eastAsia"/>
          <w:b w:val="0"/>
          <w:bCs w:val="0"/>
          <w:i w:val="0"/>
          <w:iCs w:val="0"/>
          <w:caps w:val="0"/>
          <w:smallCaps w:val="0"/>
          <w:vanish w:val="0"/>
          <w:color w:val="333333"/>
          <w:spacing w:val="0"/>
          <w:sz w:val="32"/>
          <w:szCs w:val="32"/>
          <w:vertAlign w:val="baseline"/>
        </w:rPr>
        <w:t>       </w:t>
      </w:r>
      <w:r>
        <w:rPr>
          <w:rFonts w:ascii="黑体" w:eastAsia="黑体" w:hint="eastAsia"/>
          <w:b w:val="0"/>
          <w:bCs w:val="0"/>
          <w:i w:val="0"/>
          <w:iCs w:val="0"/>
          <w:caps w:val="0"/>
          <w:smallCaps w:val="0"/>
          <w:vanish w:val="0"/>
          <w:color w:val="333333"/>
          <w:spacing w:val="0"/>
          <w:sz w:val="32"/>
          <w:szCs w:val="32"/>
          <w:vertAlign w:val="baseline"/>
        </w:rPr>
        <w:t>二、工作任务</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r>
        <w:rPr>
          <w:rStyle w:val="88"/>
          <w:rFonts w:ascii="仿宋" w:eastAsia="仿宋" w:hint="eastAsia"/>
          <w:b/>
          <w:bCs w:val="0"/>
          <w:i w:val="0"/>
          <w:iCs w:val="0"/>
          <w:caps w:val="0"/>
          <w:smallCaps w:val="0"/>
          <w:vanish w:val="0"/>
          <w:color w:val="333333"/>
          <w:spacing w:val="0"/>
          <w:sz w:val="32"/>
          <w:szCs w:val="32"/>
          <w:bdr w:val="none" w:sz="0" w:space="0" w:color="auto"/>
          <w:vertAlign w:val="baseline"/>
        </w:rPr>
        <w:t>（一）明确改革方式，大力推动照后减证和简化审批。</w:t>
      </w:r>
      <w:r>
        <w:rPr>
          <w:rFonts w:ascii="仿宋" w:eastAsia="仿宋" w:hint="eastAsia"/>
          <w:b w:val="0"/>
          <w:bCs w:val="0"/>
          <w:i w:val="0"/>
          <w:iCs w:val="0"/>
          <w:caps w:val="0"/>
          <w:smallCaps w:val="0"/>
          <w:vanish w:val="0"/>
          <w:color w:val="333333"/>
          <w:spacing w:val="0"/>
          <w:sz w:val="32"/>
          <w:szCs w:val="32"/>
          <w:vertAlign w:val="baseline"/>
        </w:rPr>
        <w:t>法律、行政法规、国务院决定设定（以下统称中央层面设定）的涉企经营许可事项和地方性法规、地方政府规章设定（以下统称地方层面设定）的涉企经营许可事项，在全省范围内分别按照《中央层面设定的住建系统涉企经营许可事项改革清单（2021年版）》《地方层面设定的住建系统涉企经营许可事项改革清单（2021年版）》分类实施改革；在自贸试验区增加实施《中央层面设定的住建系统涉企经营许可事项改革清单（2021年自贸试验区黑龙江版）》规定的改革试点举措，哈尔滨新区，自贸试验区所在县、不设区的市、市辖区的其他区域参照执行。我省《地方层面设定的住建系统涉企经营许可事项改革清单（2021年版）》，待依法履行相关法定程序后向社会公布。</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r>
        <w:rPr>
          <w:rStyle w:val="88"/>
          <w:rFonts w:ascii="仿宋" w:eastAsia="仿宋" w:hint="eastAsia"/>
          <w:b/>
          <w:bCs w:val="0"/>
          <w:i w:val="0"/>
          <w:iCs w:val="0"/>
          <w:caps w:val="0"/>
          <w:smallCaps w:val="0"/>
          <w:vanish w:val="0"/>
          <w:color w:val="333333"/>
          <w:spacing w:val="0"/>
          <w:sz w:val="32"/>
          <w:szCs w:val="32"/>
          <w:bdr w:val="none" w:sz="0" w:space="0" w:color="auto"/>
          <w:vertAlign w:val="baseline"/>
        </w:rPr>
        <w:t>1.直接取消审批。</w:t>
      </w:r>
      <w:r>
        <w:rPr>
          <w:rFonts w:ascii="仿宋" w:eastAsia="仿宋" w:hint="eastAsia"/>
          <w:b w:val="0"/>
          <w:bCs w:val="0"/>
          <w:i w:val="0"/>
          <w:iCs w:val="0"/>
          <w:caps w:val="0"/>
          <w:smallCaps w:val="0"/>
          <w:vanish w:val="0"/>
          <w:color w:val="333333"/>
          <w:spacing w:val="0"/>
          <w:sz w:val="32"/>
          <w:szCs w:val="32"/>
          <w:vertAlign w:val="baseline"/>
        </w:rPr>
        <w:t>在全省范围内取消中央层面设定的“工程造价咨询企业甲级资质认定”等8项、地方层面设定的2项住建系统涉企经营许可事项，在自贸试验区试点取消“从事生活垃圾（含粪便）经营性清扫、收集、运输服务审批”1项住建系统涉企经营许可事项。取消审批后，企业（含个体工商户、农民专业合作社，下同）取得营业执照即可开展经营，住建系统各级行政机关、企事业单位、行业组织等不得要求企业提供相关行政许可证件。</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r>
        <w:rPr>
          <w:rStyle w:val="88"/>
          <w:rFonts w:ascii="仿宋" w:eastAsia="仿宋" w:hint="eastAsia"/>
          <w:b/>
          <w:bCs w:val="0"/>
          <w:i w:val="0"/>
          <w:iCs w:val="0"/>
          <w:caps w:val="0"/>
          <w:smallCaps w:val="0"/>
          <w:vanish w:val="0"/>
          <w:color w:val="333333"/>
          <w:spacing w:val="0"/>
          <w:sz w:val="32"/>
          <w:szCs w:val="32"/>
          <w:bdr w:val="none" w:sz="0" w:space="0" w:color="auto"/>
          <w:vertAlign w:val="baseline"/>
        </w:rPr>
        <w:t>2.审批改为备案。</w:t>
      </w:r>
      <w:r>
        <w:rPr>
          <w:rFonts w:ascii="仿宋" w:eastAsia="仿宋" w:hint="eastAsia"/>
          <w:b w:val="0"/>
          <w:bCs w:val="0"/>
          <w:i w:val="0"/>
          <w:iCs w:val="0"/>
          <w:caps w:val="0"/>
          <w:smallCaps w:val="0"/>
          <w:vanish w:val="0"/>
          <w:color w:val="333333"/>
          <w:spacing w:val="0"/>
          <w:sz w:val="32"/>
          <w:szCs w:val="32"/>
          <w:vertAlign w:val="baseline"/>
        </w:rPr>
        <w:t>在全省范围内将中央层面设定的“施工企业资质认定（专业作业）”改为备案管理。审批改为备案后，原则上实行事后备案，企业取得营业执照即可开展经营；确需事前备案的，企业完成备案手续即可开展经营。企业按规定提交备案材料的，有关主管部门应当当场办理备案手续，不得作出不予备案的决定。</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r>
        <w:rPr>
          <w:rStyle w:val="88"/>
          <w:rFonts w:ascii="仿宋" w:eastAsia="仿宋" w:hint="eastAsia"/>
          <w:b/>
          <w:bCs w:val="0"/>
          <w:i w:val="0"/>
          <w:iCs w:val="0"/>
          <w:caps w:val="0"/>
          <w:smallCaps w:val="0"/>
          <w:vanish w:val="0"/>
          <w:color w:val="333333"/>
          <w:spacing w:val="0"/>
          <w:sz w:val="32"/>
          <w:szCs w:val="32"/>
          <w:bdr w:val="none" w:sz="0" w:space="0" w:color="auto"/>
          <w:vertAlign w:val="baseline"/>
        </w:rPr>
        <w:t>3.实行告知承诺。</w:t>
      </w:r>
      <w:r>
        <w:rPr>
          <w:rFonts w:ascii="仿宋" w:eastAsia="仿宋" w:hint="eastAsia"/>
          <w:b w:val="0"/>
          <w:bCs w:val="0"/>
          <w:i w:val="0"/>
          <w:iCs w:val="0"/>
          <w:caps w:val="0"/>
          <w:smallCaps w:val="0"/>
          <w:vanish w:val="0"/>
          <w:color w:val="333333"/>
          <w:spacing w:val="0"/>
          <w:sz w:val="32"/>
          <w:szCs w:val="32"/>
          <w:vertAlign w:val="baseline"/>
        </w:rPr>
        <w:t>在全省范围内对中央层面设定的“从事生活垃圾（含粪便）经营性清扫、收集、运输、处理服务审批”1项涉企经营许可事项实行告知承诺，在自贸试验区试点对“房地产开发企业二级资质核定”等9项涉企经营许可事项实行告知承诺。实行告知承诺后，要依法列出可量化可操作、不含兜底条款的经营许可条件，明确监管规则和违反承诺后果，一次性告知企业。对因企业承诺可以减省的审批材料，不再要求企业提供；对可在企业领证后补交的审批材料，实行容缺办理、限期补交。对企业自愿作出承诺并按要求提交材料的，要当场作出审批决定。对通过告知承诺取得许可的企业，有关主管部门要加强事中事后监管，确有必要的可以开展全覆盖核查。发现企业不符合许可条件的，要依法调查处理，并将失信违法行为记入企业信用记录，依法依规实施失信惩戒。有关主管部门要及时将企业履行承诺情况纳入信用记录，并归集报送至省市信用信息共享平台。</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r>
        <w:rPr>
          <w:rStyle w:val="88"/>
          <w:rFonts w:ascii="仿宋" w:eastAsia="仿宋" w:hint="eastAsia"/>
          <w:b/>
          <w:bCs w:val="0"/>
          <w:i w:val="0"/>
          <w:iCs w:val="0"/>
          <w:caps w:val="0"/>
          <w:smallCaps w:val="0"/>
          <w:vanish w:val="0"/>
          <w:color w:val="333333"/>
          <w:spacing w:val="0"/>
          <w:sz w:val="32"/>
          <w:szCs w:val="32"/>
          <w:bdr w:val="none" w:sz="0" w:space="0" w:color="auto"/>
          <w:vertAlign w:val="baseline"/>
        </w:rPr>
        <w:t>4.优化审批服务。</w:t>
      </w:r>
      <w:r>
        <w:rPr>
          <w:rFonts w:ascii="仿宋" w:eastAsia="仿宋" w:hint="eastAsia"/>
          <w:b w:val="0"/>
          <w:bCs w:val="0"/>
          <w:i w:val="0"/>
          <w:iCs w:val="0"/>
          <w:caps w:val="0"/>
          <w:smallCaps w:val="0"/>
          <w:vanish w:val="0"/>
          <w:color w:val="333333"/>
          <w:spacing w:val="0"/>
          <w:sz w:val="32"/>
          <w:szCs w:val="32"/>
          <w:vertAlign w:val="baseline"/>
        </w:rPr>
        <w:t>对“建筑施工企业安全生产许可证核发”等17项涉企经营许可事项，采取推动信息共享、精简许可条件和审批材料，减轻企业办事负担等优化举措。同时，全省各级住建系统归口单位要积极回应企业关切，探索优化审批服务的创新举措。</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r>
        <w:rPr>
          <w:rStyle w:val="88"/>
          <w:rFonts w:ascii="仿宋" w:eastAsia="仿宋" w:hint="eastAsia"/>
          <w:b/>
          <w:bCs w:val="0"/>
          <w:i w:val="0"/>
          <w:iCs w:val="0"/>
          <w:caps w:val="0"/>
          <w:smallCaps w:val="0"/>
          <w:vanish w:val="0"/>
          <w:color w:val="333333"/>
          <w:spacing w:val="0"/>
          <w:sz w:val="32"/>
          <w:szCs w:val="32"/>
          <w:bdr w:val="none" w:sz="0" w:space="0" w:color="auto"/>
          <w:vertAlign w:val="baseline"/>
        </w:rPr>
        <w:t>（二）完善配套措施，强化改革系统集成和业务协同。</w:t>
      </w:r>
      <w:r>
        <w:rPr>
          <w:rFonts w:ascii="仿宋" w:eastAsia="仿宋" w:hint="eastAsia"/>
          <w:b w:val="0"/>
          <w:bCs w:val="0"/>
          <w:i w:val="0"/>
          <w:iCs w:val="0"/>
          <w:caps w:val="0"/>
          <w:smallCaps w:val="0"/>
          <w:vanish w:val="0"/>
          <w:color w:val="333333"/>
          <w:spacing w:val="0"/>
          <w:sz w:val="32"/>
          <w:szCs w:val="32"/>
          <w:vertAlign w:val="baseline"/>
        </w:rPr>
        <w:t>加强“证照分离”改革统筹规划，厘清“证”“照”功能，规范企业登记经营范围与涉企经营许可事项的衔接，强化部门间信息共享和业务协同，切实增强改革的系统性、整体性和协同性。</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r>
        <w:rPr>
          <w:rStyle w:val="88"/>
          <w:rFonts w:ascii="仿宋" w:eastAsia="仿宋" w:hint="eastAsia"/>
          <w:b/>
          <w:bCs w:val="0"/>
          <w:i w:val="0"/>
          <w:iCs w:val="0"/>
          <w:caps w:val="0"/>
          <w:smallCaps w:val="0"/>
          <w:vanish w:val="0"/>
          <w:color w:val="333333"/>
          <w:spacing w:val="0"/>
          <w:sz w:val="32"/>
          <w:szCs w:val="32"/>
          <w:bdr w:val="none" w:sz="0" w:space="0" w:color="auto"/>
          <w:vertAlign w:val="baseline"/>
        </w:rPr>
        <w:t>1.实施涉企经营许可事项清单管理。</w:t>
      </w:r>
      <w:r>
        <w:rPr>
          <w:rFonts w:ascii="仿宋" w:eastAsia="仿宋" w:hint="eastAsia"/>
          <w:b w:val="0"/>
          <w:bCs w:val="0"/>
          <w:i w:val="0"/>
          <w:iCs w:val="0"/>
          <w:caps w:val="0"/>
          <w:smallCaps w:val="0"/>
          <w:vanish w:val="0"/>
          <w:color w:val="333333"/>
          <w:spacing w:val="0"/>
          <w:sz w:val="32"/>
          <w:szCs w:val="32"/>
          <w:vertAlign w:val="baseline"/>
        </w:rPr>
        <w:t>涉企经营许可事项全部纳入清单管理，逐项列明改革方式、具体改革举措和加强事中事后监管措施。全省住建系统、哈尔滨新区、自贸试验区要分别按照附件1、附件2的清单推进改革工作。清单之外，一律不得限制企业进入相关行业开展经营。全省住建系统要对清单之外限制企业进入特定行业开展经营的管理事项进行全面自查清理，对实施变相审批造成市场分割或者加重企业负担的行为，要严肃督查整改并追究责任。各市（地）住建系统和哈尔滨新区、自贸试验区可根据实际对中央和地方层面设定的涉企行政许可事项加大改革力度，提出优化改革方式、完善改革举措的具体意见，按照程序报批后纳入清单管理。</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r>
        <w:rPr>
          <w:rStyle w:val="88"/>
          <w:rFonts w:ascii="仿宋" w:eastAsia="仿宋" w:hint="eastAsia"/>
          <w:b/>
          <w:bCs w:val="0"/>
          <w:i w:val="0"/>
          <w:iCs w:val="0"/>
          <w:caps w:val="0"/>
          <w:smallCaps w:val="0"/>
          <w:vanish w:val="0"/>
          <w:color w:val="333333"/>
          <w:spacing w:val="0"/>
          <w:sz w:val="32"/>
          <w:szCs w:val="32"/>
          <w:bdr w:val="none" w:sz="0" w:space="0" w:color="auto"/>
          <w:vertAlign w:val="baseline"/>
        </w:rPr>
        <w:t>2.强化涉企信息共享应用。</w:t>
      </w:r>
      <w:r>
        <w:rPr>
          <w:rFonts w:ascii="仿宋" w:eastAsia="仿宋" w:hint="eastAsia"/>
          <w:b w:val="0"/>
          <w:bCs w:val="0"/>
          <w:i w:val="0"/>
          <w:iCs w:val="0"/>
          <w:caps w:val="0"/>
          <w:smallCaps w:val="0"/>
          <w:vanish w:val="0"/>
          <w:color w:val="333333"/>
          <w:spacing w:val="0"/>
          <w:sz w:val="32"/>
          <w:szCs w:val="32"/>
          <w:vertAlign w:val="baseline"/>
        </w:rPr>
        <w:t>全省住建系统通过“黑龙江省住房和城乡建设政务服务信息管理系统”办理的行政许可已实现许可结果实时反馈省营商局政务服务平台和省信用信息共享平台。但各市（地）住建系统审批的其他涉企行政许可事项未实现信息系统端口对接的，要积极协调同级营商部门，加快实现数据端口对接，确保行政许可相关信息及时推送。全省住建系统作出行政处罚决定7个工作日内，要将有关信息在省信用信息共享平台、国家企业信用信息公示系统（黑龙江）统一展示。</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r>
        <w:rPr>
          <w:rStyle w:val="88"/>
          <w:rFonts w:ascii="仿宋" w:eastAsia="仿宋" w:hint="eastAsia"/>
          <w:b/>
          <w:bCs w:val="0"/>
          <w:i w:val="0"/>
          <w:iCs w:val="0"/>
          <w:caps w:val="0"/>
          <w:smallCaps w:val="0"/>
          <w:vanish w:val="0"/>
          <w:color w:val="333333"/>
          <w:spacing w:val="0"/>
          <w:sz w:val="32"/>
          <w:szCs w:val="32"/>
          <w:bdr w:val="none" w:sz="0" w:space="0" w:color="auto"/>
          <w:vertAlign w:val="baseline"/>
        </w:rPr>
        <w:t>3.强化电子证照归集运用。</w:t>
      </w:r>
      <w:r>
        <w:rPr>
          <w:rFonts w:ascii="仿宋" w:eastAsia="仿宋" w:hint="eastAsia"/>
          <w:b w:val="0"/>
          <w:bCs w:val="0"/>
          <w:i w:val="0"/>
          <w:iCs w:val="0"/>
          <w:caps w:val="0"/>
          <w:smallCaps w:val="0"/>
          <w:vanish w:val="0"/>
          <w:color w:val="333333"/>
          <w:spacing w:val="0"/>
          <w:sz w:val="32"/>
          <w:szCs w:val="32"/>
          <w:vertAlign w:val="baseline"/>
        </w:rPr>
        <w:t>全省住建系统已在建设类企业资质、人员资格类和施工许可证三个领域实现了电子证照的核发，但是一些市（地）住建系统办理的其他类别的涉企审批事项仍未全面实行电子证照。请各市（地）住建系统梳理本部门及本辖区未实现电子证照的涉企行政许可事项，按照国家电子证照有关标准积极推进证照电子化，并将产生的电子证照归集至全省一体化政务服务平台，2022年底前全部实现涉企电子证照共享应用。各单位要加强电子证照运用，在政务服务、商业活动等场景普遍推广企业电子亮照亮证。凡是通过电子证照可以获取的信息，一律不得再要求企业提供相应材料。</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r>
        <w:rPr>
          <w:rStyle w:val="88"/>
          <w:rFonts w:ascii="仿宋" w:eastAsia="仿宋" w:hint="eastAsia"/>
          <w:b/>
          <w:bCs w:val="0"/>
          <w:i w:val="0"/>
          <w:iCs w:val="0"/>
          <w:caps w:val="0"/>
          <w:smallCaps w:val="0"/>
          <w:vanish w:val="0"/>
          <w:color w:val="333333"/>
          <w:spacing w:val="0"/>
          <w:sz w:val="32"/>
          <w:szCs w:val="32"/>
          <w:bdr w:val="none" w:sz="0" w:space="0" w:color="auto"/>
          <w:vertAlign w:val="baseline"/>
        </w:rPr>
        <w:t>（三）坚持放管结合并重，创新和加强事中事后监管。</w:t>
      </w:r>
      <w:r>
        <w:rPr>
          <w:rFonts w:ascii="仿宋" w:eastAsia="仿宋" w:hint="eastAsia"/>
          <w:b w:val="0"/>
          <w:bCs w:val="0"/>
          <w:i w:val="0"/>
          <w:iCs w:val="0"/>
          <w:caps w:val="0"/>
          <w:smallCaps w:val="0"/>
          <w:vanish w:val="0"/>
          <w:color w:val="333333"/>
          <w:spacing w:val="0"/>
          <w:sz w:val="32"/>
          <w:szCs w:val="32"/>
          <w:vertAlign w:val="baseline"/>
        </w:rPr>
        <w:t>要按照“谁审批、谁监管，谁主管、谁监管”原则，加强审批与监管的衔接，健全监管规则和标准，完善监管方法和手段，强化日常监管和社会监督，进一步完善以“双随机、一公开”监管为基本手段、以重点监管为补充、以信用监管为基础的新型监管机制。</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r>
        <w:rPr>
          <w:rStyle w:val="88"/>
          <w:rFonts w:ascii="仿宋" w:eastAsia="仿宋" w:hint="eastAsia"/>
          <w:b/>
          <w:bCs w:val="0"/>
          <w:i w:val="0"/>
          <w:iCs w:val="0"/>
          <w:caps w:val="0"/>
          <w:smallCaps w:val="0"/>
          <w:vanish w:val="0"/>
          <w:color w:val="333333"/>
          <w:spacing w:val="0"/>
          <w:sz w:val="32"/>
          <w:szCs w:val="32"/>
          <w:bdr w:val="none" w:sz="0" w:space="0" w:color="auto"/>
          <w:vertAlign w:val="baseline"/>
        </w:rPr>
        <w:t>1.全面落实监管责任。</w:t>
      </w:r>
      <w:r>
        <w:rPr>
          <w:rFonts w:ascii="仿宋" w:eastAsia="仿宋" w:hint="eastAsia"/>
          <w:b w:val="0"/>
          <w:bCs w:val="0"/>
          <w:i w:val="0"/>
          <w:iCs w:val="0"/>
          <w:caps w:val="0"/>
          <w:smallCaps w:val="0"/>
          <w:vanish w:val="0"/>
          <w:color w:val="333333"/>
          <w:spacing w:val="0"/>
          <w:sz w:val="32"/>
          <w:szCs w:val="32"/>
          <w:vertAlign w:val="baseline"/>
        </w:rPr>
        <w:t>要切实履行监管职责，坚决纠正“以批代管”“不批不管”问题，防止出现监管真空。直接取消审批、审批改为备案的，由原审批部门依法承担监管职责。实行告知承诺、优化审批服务的，由审批部门（包括相对集中行使行政许可权的部门）负责依法监管持证经营企业、查处无证经营行为。实行相对集中行政许可权改革或者综合行政执法改革的地区，按照有关规定确定监管职责、健全审管衔接机制。坚持政府主导、企业自治、行业自律、社会监督，压实企业主体责任，支持行业协会提升自律水平，鼓励新闻媒体、从业人员、消费者、中介机构等发挥监督作用，健全多元共治、互为支撑的协同监管格局。</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r>
        <w:rPr>
          <w:rStyle w:val="88"/>
          <w:rFonts w:ascii="仿宋" w:eastAsia="仿宋" w:hint="eastAsia"/>
          <w:b/>
          <w:bCs w:val="0"/>
          <w:i w:val="0"/>
          <w:iCs w:val="0"/>
          <w:caps w:val="0"/>
          <w:smallCaps w:val="0"/>
          <w:vanish w:val="0"/>
          <w:color w:val="333333"/>
          <w:spacing w:val="0"/>
          <w:sz w:val="32"/>
          <w:szCs w:val="32"/>
          <w:bdr w:val="none" w:sz="0" w:space="0" w:color="auto"/>
          <w:vertAlign w:val="baseline"/>
        </w:rPr>
        <w:t>2.严格执行监管规则。</w:t>
      </w:r>
      <w:r>
        <w:rPr>
          <w:rFonts w:ascii="仿宋" w:eastAsia="仿宋" w:hint="eastAsia"/>
          <w:b w:val="0"/>
          <w:bCs w:val="0"/>
          <w:i w:val="0"/>
          <w:iCs w:val="0"/>
          <w:caps w:val="0"/>
          <w:smallCaps w:val="0"/>
          <w:vanish w:val="0"/>
          <w:color w:val="333333"/>
          <w:spacing w:val="0"/>
          <w:sz w:val="32"/>
          <w:szCs w:val="32"/>
          <w:vertAlign w:val="baseline"/>
        </w:rPr>
        <w:t>直接取消审批的，各级住建审批部门要及时掌握新设企业情况，纳入监管范围，依法实施监管。审批改为备案的，要督促有关企业按规定履行备案手续，对未按规定备案或者提交虚假备案材料的要依法调查处理。实行告知承诺的，要重点对企业履行承诺情况进行检查，发现违反承诺的要责令限期整改，逾期不整改或者整改后仍未履行承诺的要依法撤销相关许可，构成违法的要依法予以处罚，并将企业失信违诺信息报送至省市信用信息共享平台。对地方层面设定的涉企经营许可事项，省住建厅待相关地方性法规修订后，根据改革方式制定监管规则，为监管提供明确指引。</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r>
        <w:rPr>
          <w:rStyle w:val="88"/>
          <w:rFonts w:ascii="仿宋" w:eastAsia="仿宋" w:hint="eastAsia"/>
          <w:b/>
          <w:bCs w:val="0"/>
          <w:i w:val="0"/>
          <w:iCs w:val="0"/>
          <w:caps w:val="0"/>
          <w:smallCaps w:val="0"/>
          <w:vanish w:val="0"/>
          <w:color w:val="333333"/>
          <w:spacing w:val="0"/>
          <w:sz w:val="32"/>
          <w:szCs w:val="32"/>
          <w:bdr w:val="none" w:sz="0" w:space="0" w:color="auto"/>
          <w:vertAlign w:val="baseline"/>
        </w:rPr>
        <w:t>3.全面规范监管方式。</w:t>
      </w:r>
      <w:r>
        <w:rPr>
          <w:rFonts w:ascii="仿宋" w:eastAsia="仿宋" w:hint="eastAsia"/>
          <w:b w:val="0"/>
          <w:bCs w:val="0"/>
          <w:i w:val="0"/>
          <w:iCs w:val="0"/>
          <w:caps w:val="0"/>
          <w:smallCaps w:val="0"/>
          <w:vanish w:val="0"/>
          <w:color w:val="333333"/>
          <w:spacing w:val="0"/>
          <w:sz w:val="32"/>
          <w:szCs w:val="32"/>
          <w:vertAlign w:val="baseline"/>
        </w:rPr>
        <w:t>对一般事项，全面推行“双随机、一公开”监管，并探索推动与企业信用风险分类管理有机结合，根据企业信用风险高低科学确定抽查比例和抽查频次，实施差异化监管，增强“双随机、一公开”抽查的针对性和实效性，巩固提升市场监管领域部门联合“双随机、一公开”监管全覆盖、常态化工作成果。对建设工程质量和安全等直接涉及公共安全和人民群众生命健康的特殊行业、重点领域，落实全覆盖重点监管，强化全过程质量管理，守牢安全底线。要充分发挥信用监管基础性作用，建立企业信用与自然人信用挂钩机制，依法依规实施失信惩戒。要建立健全严重违法责任企业及相关人员行业禁入制度，增强监管威慑力。对新技术、新产业、新业态、新模式等实行包容审慎监管，量身定制监管模式，对轻微违法行为依法从轻、减轻或者免予行政处罚。深入推进“互联网+监管”，探索智慧监管，加强监管数据共享，运用大数据、物联网、人工智能等手段精准预警风险隐患。</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r>
        <w:rPr>
          <w:rFonts w:ascii="仿宋" w:eastAsia="仿宋" w:hint="eastAsia"/>
          <w:b w:val="0"/>
          <w:bCs w:val="0"/>
          <w:i w:val="0"/>
          <w:iCs w:val="0"/>
          <w:caps w:val="0"/>
          <w:smallCaps w:val="0"/>
          <w:vanish w:val="0"/>
          <w:color w:val="333333"/>
          <w:spacing w:val="0"/>
          <w:sz w:val="32"/>
          <w:szCs w:val="32"/>
          <w:vertAlign w:val="baseline"/>
        </w:rPr>
        <w:t>三、工作要求</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r>
        <w:rPr>
          <w:rStyle w:val="88"/>
          <w:rFonts w:ascii="仿宋" w:eastAsia="仿宋" w:hint="eastAsia"/>
          <w:b/>
          <w:bCs w:val="0"/>
          <w:i w:val="0"/>
          <w:iCs w:val="0"/>
          <w:caps w:val="0"/>
          <w:smallCaps w:val="0"/>
          <w:vanish w:val="0"/>
          <w:color w:val="333333"/>
          <w:spacing w:val="0"/>
          <w:sz w:val="32"/>
          <w:szCs w:val="32"/>
          <w:bdr w:val="none" w:sz="0" w:space="0" w:color="auto"/>
          <w:vertAlign w:val="baseline"/>
        </w:rPr>
        <w:t>（一）健全工作机制。</w:t>
      </w:r>
      <w:r>
        <w:rPr>
          <w:rFonts w:ascii="仿宋" w:eastAsia="仿宋" w:hint="eastAsia"/>
          <w:b w:val="0"/>
          <w:bCs w:val="0"/>
          <w:i w:val="0"/>
          <w:iCs w:val="0"/>
          <w:caps w:val="0"/>
          <w:smallCaps w:val="0"/>
          <w:vanish w:val="0"/>
          <w:color w:val="333333"/>
          <w:spacing w:val="0"/>
          <w:sz w:val="32"/>
          <w:szCs w:val="32"/>
          <w:vertAlign w:val="baseline"/>
        </w:rPr>
        <w:t>省住建厅按照省推进政府职能转变和“放管服”改革协调小组的要求，做好调查研究、培训宣传、政策解读、协调指导、督促落实、法治保障、总结评估等工作，确保改革的各项措施落到实处。各市（地）住建系统在同级人民政府的领导下，强化责任落实，扎实推进改革。</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r>
        <w:rPr>
          <w:rStyle w:val="88"/>
          <w:rFonts w:ascii="仿宋" w:eastAsia="仿宋" w:hint="eastAsia"/>
          <w:b/>
          <w:bCs w:val="0"/>
          <w:i w:val="0"/>
          <w:iCs w:val="0"/>
          <w:caps w:val="0"/>
          <w:smallCaps w:val="0"/>
          <w:vanish w:val="0"/>
          <w:color w:val="333333"/>
          <w:spacing w:val="0"/>
          <w:sz w:val="32"/>
          <w:szCs w:val="32"/>
          <w:bdr w:val="none" w:sz="0" w:space="0" w:color="auto"/>
          <w:vertAlign w:val="baseline"/>
        </w:rPr>
        <w:t>（二）强化法治保障。</w:t>
      </w:r>
      <w:r>
        <w:rPr>
          <w:rFonts w:ascii="仿宋" w:eastAsia="仿宋" w:hint="eastAsia"/>
          <w:b w:val="0"/>
          <w:bCs w:val="0"/>
          <w:i w:val="0"/>
          <w:iCs w:val="0"/>
          <w:caps w:val="0"/>
          <w:smallCaps w:val="0"/>
          <w:vanish w:val="0"/>
          <w:color w:val="333333"/>
          <w:spacing w:val="0"/>
          <w:sz w:val="32"/>
          <w:szCs w:val="32"/>
          <w:vertAlign w:val="baseline"/>
        </w:rPr>
        <w:t>要坚持重大改革于法有据，依照法定程序推动改革。自贸试验区暂时调整适用《国务院对确需保留的行政审批项目设定行政许可的决定》第102项有关规定，取消“从事生活垃圾（含粪便）经营性清扫、收集、运输服务审批”。全省住建系统要根据国家和省相关法律、法规、规章的调整情况，及时清理修改地方性法规、地方政府规章和规范性文件，建立与改革要求相适应的管理制度，严格规范执法程序，加强执法监督。</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r>
        <w:rPr>
          <w:rStyle w:val="88"/>
          <w:rFonts w:ascii="仿宋" w:eastAsia="仿宋" w:hint="eastAsia"/>
          <w:b/>
          <w:bCs w:val="0"/>
          <w:i w:val="0"/>
          <w:iCs w:val="0"/>
          <w:caps w:val="0"/>
          <w:smallCaps w:val="0"/>
          <w:vanish w:val="0"/>
          <w:color w:val="333333"/>
          <w:spacing w:val="0"/>
          <w:sz w:val="32"/>
          <w:szCs w:val="32"/>
          <w:bdr w:val="none" w:sz="0" w:space="0" w:color="auto"/>
          <w:vertAlign w:val="baseline"/>
        </w:rPr>
        <w:t>（三）抓好推进落实。</w:t>
      </w:r>
      <w:r>
        <w:rPr>
          <w:rFonts w:ascii="仿宋" w:eastAsia="仿宋" w:hint="eastAsia"/>
          <w:b w:val="0"/>
          <w:bCs w:val="0"/>
          <w:i w:val="0"/>
          <w:iCs w:val="0"/>
          <w:caps w:val="0"/>
          <w:smallCaps w:val="0"/>
          <w:vanish w:val="0"/>
          <w:color w:val="333333"/>
          <w:spacing w:val="0"/>
          <w:sz w:val="32"/>
          <w:szCs w:val="32"/>
          <w:vertAlign w:val="baseline"/>
        </w:rPr>
        <w:t>全省住建系统认真落实国家有关部门制定的改革实施方案，对地方层面涉企经营许可事项待相关地方性法规修订后要及时逐项细化改革举措，完善事中事后监管措施，并向社会公布。全省住建系统要做好改革政策工作培训和宣传解读，调整优化业务流程，修订完善工作规则和政务服务办事指南，提升网上政务服务能力和政务服务标准化水平，全面推行“网上办、掌上办、一次办”，确保改革措施全面落实。</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r>
        <w:rPr>
          <w:rFonts w:ascii="仿宋" w:eastAsia="仿宋" w:hint="eastAsia"/>
          <w:b w:val="0"/>
          <w:bCs w:val="0"/>
          <w:i w:val="0"/>
          <w:iCs w:val="0"/>
          <w:caps w:val="0"/>
          <w:smallCaps w:val="0"/>
          <w:vanish w:val="0"/>
          <w:color w:val="333333"/>
          <w:spacing w:val="0"/>
          <w:sz w:val="32"/>
          <w:szCs w:val="32"/>
          <w:vertAlign w:val="baseline"/>
        </w:rPr>
        <w:t>改革中遇到的问题要及时报省住建厅法治建设处，确保改革各项措施落到实处。</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Microsoft YaHei" w:eastAsia="仿宋" w:hAnsi="Microsoft YaHei"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r>
        <w:rPr>
          <w:rFonts w:ascii="仿宋" w:eastAsia="仿宋" w:hint="eastAsia"/>
          <w:b w:val="0"/>
          <w:bCs w:val="0"/>
          <w:i w:val="0"/>
          <w:iCs w:val="0"/>
          <w:caps w:val="0"/>
          <w:smallCaps w:val="0"/>
          <w:vanish w:val="0"/>
          <w:color w:val="333333"/>
          <w:spacing w:val="0"/>
          <w:sz w:val="32"/>
          <w:szCs w:val="32"/>
          <w:vertAlign w:val="baseline"/>
        </w:rPr>
        <w:t>附件：</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Microsoft YaHei" w:eastAsia="仿宋" w:hAnsi="Microsoft YaHei"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Style w:val="86"/>
          <w:rFonts w:ascii="仿宋" w:eastAsia="仿宋" w:hint="eastAsia"/>
          <w:b w:val="0"/>
          <w:bCs w:val="0"/>
          <w:i w:val="0"/>
          <w:iCs w:val="0"/>
          <w:caps w:val="0"/>
          <w:smallCaps w:val="0"/>
          <w:strike w:val="0"/>
          <w:dstrike w:val="0"/>
          <w:vanish w:val="0"/>
          <w:color w:val="000000"/>
          <w:spacing w:val="0"/>
          <w:sz w:val="32"/>
          <w:szCs w:val="32"/>
          <w:u w:val="none"/>
          <w:bdr w:val="none" w:sz="0" w:space="0" w:color="auto"/>
          <w:shd w:val="clear" w:color="auto" w:fill="auto"/>
          <w:vertAlign w:val="baseline"/>
        </w:rPr>
        <w:fldChar w:fldCharType="begin"/>
      </w:r>
      <w:r>
        <w:instrText>HYPERLINK "http://zfcxjst.hlj.gov.cn/static/video/2854881.xlsx"</w:instrText>
      </w:r>
      <w:r>
        <w:rPr>
          <w:rStyle w:val="86"/>
          <w:rFonts w:ascii="仿宋" w:eastAsia="仿宋" w:hint="eastAsia"/>
          <w:b w:val="0"/>
          <w:bCs w:val="0"/>
          <w:i w:val="0"/>
          <w:iCs w:val="0"/>
          <w:caps w:val="0"/>
          <w:smallCaps w:val="0"/>
          <w:strike w:val="0"/>
          <w:dstrike w:val="0"/>
          <w:vanish w:val="0"/>
          <w:color w:val="000000"/>
          <w:spacing w:val="0"/>
          <w:sz w:val="32"/>
          <w:szCs w:val="32"/>
          <w:u w:val="none"/>
          <w:bdr w:val="none" w:sz="0" w:space="0" w:color="auto"/>
          <w:shd w:val="clear" w:color="auto" w:fill="auto"/>
          <w:vertAlign w:val="baseline"/>
        </w:rPr>
        <w:fldChar w:fldCharType="separate"/>
      </w:r>
      <w:r>
        <w:rPr>
          <w:rStyle w:val="86"/>
          <w:rFonts w:ascii="仿宋" w:eastAsia="仿宋" w:hint="eastAsia"/>
          <w:b w:val="0"/>
          <w:bCs w:val="0"/>
          <w:i w:val="0"/>
          <w:iCs w:val="0"/>
          <w:caps w:val="0"/>
          <w:smallCaps w:val="0"/>
          <w:strike w:val="0"/>
          <w:dstrike w:val="0"/>
          <w:vanish w:val="0"/>
          <w:color w:val="000000"/>
          <w:spacing w:val="0"/>
          <w:sz w:val="32"/>
          <w:szCs w:val="32"/>
          <w:u w:val="none"/>
          <w:bdr w:val="none" w:sz="0" w:space="0" w:color="auto"/>
          <w:shd w:val="clear" w:color="auto" w:fill="auto"/>
          <w:vertAlign w:val="baseline"/>
        </w:rPr>
        <w:t>附件1-黑龙江省住建系统实施的中央层面设定的涉企经营许可事项改革清单</w:t>
      </w:r>
      <w:r>
        <w:rPr>
          <w:rStyle w:val="86"/>
          <w:rFonts w:ascii="仿宋" w:eastAsia="仿宋" w:hint="eastAsia"/>
          <w:b w:val="0"/>
          <w:bCs w:val="0"/>
          <w:i w:val="0"/>
          <w:iCs w:val="0"/>
          <w:caps w:val="0"/>
          <w:smallCaps w:val="0"/>
          <w:strike w:val="0"/>
          <w:dstrike w:val="0"/>
          <w:vanish w:val="0"/>
          <w:color w:val="000000"/>
          <w:spacing w:val="0"/>
          <w:sz w:val="32"/>
          <w:szCs w:val="32"/>
          <w:u w:val="none"/>
          <w:bdr w:val="none" w:sz="0" w:space="0" w:color="auto"/>
          <w:shd w:val="clear" w:color="auto" w:fill="auto"/>
          <w:vertAlign w:val="baseline"/>
        </w:rPr>
        <w:fldChar w:fldCharType="end"/>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Microsoft YaHei" w:eastAsia="仿宋" w:hAnsi="Microsoft YaHei"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Microsoft YaHei" w:eastAsia="仿宋" w:hAnsi="Microsoft YaHei"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仿宋" w:eastAsia="仿宋" w:hint="eastAsia"/>
          <w:b w:val="0"/>
          <w:bCs w:val="0"/>
          <w:i w:val="0"/>
          <w:iCs w:val="0"/>
          <w:caps w:val="0"/>
          <w:smallCaps w:val="0"/>
          <w:vanish w:val="0"/>
          <w:color w:val="333333"/>
          <w:spacing w:val="0"/>
          <w:sz w:val="32"/>
          <w:szCs w:val="32"/>
          <w:vertAlign w:val="baseline"/>
        </w:rPr>
      </w:pPr>
      <w:r>
        <w:rPr>
          <w:rStyle w:val="86"/>
          <w:rFonts w:ascii="仿宋" w:eastAsia="仿宋" w:hint="eastAsia"/>
          <w:b w:val="0"/>
          <w:bCs w:val="0"/>
          <w:i w:val="0"/>
          <w:iCs w:val="0"/>
          <w:caps w:val="0"/>
          <w:smallCaps w:val="0"/>
          <w:strike w:val="0"/>
          <w:dstrike w:val="0"/>
          <w:vanish w:val="0"/>
          <w:color w:val="000000"/>
          <w:spacing w:val="0"/>
          <w:sz w:val="32"/>
          <w:szCs w:val="32"/>
          <w:u w:val="none"/>
          <w:bdr w:val="none" w:sz="0" w:space="0" w:color="auto"/>
          <w:shd w:val="clear" w:color="auto" w:fill="auto"/>
          <w:vertAlign w:val="baseline"/>
        </w:rPr>
        <w:fldChar w:fldCharType="begin"/>
      </w:r>
      <w:r>
        <w:instrText>HYPERLINK "http://zfcxjst.hlj.gov.cn/static/video/9955530.xlsx"</w:instrText>
      </w:r>
      <w:r>
        <w:rPr>
          <w:rStyle w:val="86"/>
          <w:rFonts w:ascii="仿宋" w:eastAsia="仿宋" w:hint="eastAsia"/>
          <w:b w:val="0"/>
          <w:bCs w:val="0"/>
          <w:i w:val="0"/>
          <w:iCs w:val="0"/>
          <w:caps w:val="0"/>
          <w:smallCaps w:val="0"/>
          <w:strike w:val="0"/>
          <w:dstrike w:val="0"/>
          <w:vanish w:val="0"/>
          <w:color w:val="000000"/>
          <w:spacing w:val="0"/>
          <w:sz w:val="32"/>
          <w:szCs w:val="32"/>
          <w:u w:val="none"/>
          <w:bdr w:val="none" w:sz="0" w:space="0" w:color="auto"/>
          <w:shd w:val="clear" w:color="auto" w:fill="auto"/>
          <w:vertAlign w:val="baseline"/>
        </w:rPr>
        <w:fldChar w:fldCharType="separate"/>
      </w:r>
      <w:r>
        <w:rPr>
          <w:rStyle w:val="86"/>
          <w:rFonts w:ascii="仿宋" w:eastAsia="仿宋" w:hint="eastAsia"/>
          <w:b w:val="0"/>
          <w:bCs w:val="0"/>
          <w:i w:val="0"/>
          <w:iCs w:val="0"/>
          <w:caps w:val="0"/>
          <w:smallCaps w:val="0"/>
          <w:strike w:val="0"/>
          <w:dstrike w:val="0"/>
          <w:vanish w:val="0"/>
          <w:color w:val="000000"/>
          <w:spacing w:val="0"/>
          <w:sz w:val="32"/>
          <w:szCs w:val="32"/>
          <w:u w:val="none"/>
          <w:bdr w:val="none" w:sz="0" w:space="0" w:color="auto"/>
          <w:shd w:val="clear" w:color="auto" w:fill="auto"/>
          <w:vertAlign w:val="baseline"/>
        </w:rPr>
        <w:t>附件2-黑龙江省自贸试验区住建系统实施的中央层面设定的涉企经营许可事项改革清单（2021年版）</w:t>
      </w:r>
      <w:r>
        <w:rPr>
          <w:rStyle w:val="86"/>
          <w:rFonts w:ascii="仿宋" w:eastAsia="仿宋" w:hint="eastAsia"/>
          <w:b w:val="0"/>
          <w:bCs w:val="0"/>
          <w:i w:val="0"/>
          <w:iCs w:val="0"/>
          <w:caps w:val="0"/>
          <w:smallCaps w:val="0"/>
          <w:strike w:val="0"/>
          <w:dstrike w:val="0"/>
          <w:vanish w:val="0"/>
          <w:color w:val="000000"/>
          <w:spacing w:val="0"/>
          <w:sz w:val="32"/>
          <w:szCs w:val="32"/>
          <w:u w:val="none"/>
          <w:bdr w:val="none" w:sz="0" w:space="0" w:color="auto"/>
          <w:shd w:val="clear" w:color="auto" w:fill="auto"/>
          <w:vertAlign w:val="baseline"/>
        </w:rPr>
        <w:fldChar w:fldCharType="end"/>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Microsoft YaHei" w:eastAsia="仿宋" w:hAnsi="Microsoft YaHei"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right="0" w:firstLine="0"/>
        <w:jc w:val="left"/>
        <w:textAlignment w:val="baseline"/>
        <w:rPr>
          <w:rFonts w:ascii="Microsoft YaHei" w:eastAsia="仿宋" w:hAnsi="Microsoft YaHei" w:hint="eastAsia"/>
          <w:b w:val="0"/>
          <w:bCs w:val="0"/>
          <w:i w:val="0"/>
          <w:iCs w:val="0"/>
          <w:caps w:val="0"/>
          <w:smallCaps w:val="0"/>
          <w:vanish w:val="0"/>
          <w:color w:val="333333"/>
          <w:spacing w:val="0"/>
          <w:sz w:val="32"/>
          <w:szCs w:val="32"/>
          <w:vertAlign w:val="baseline"/>
        </w:rPr>
      </w:pPr>
      <w:r>
        <w:rPr>
          <w:rFonts w:ascii="Microsoft YaHei" w:eastAsia="仿宋" w:hAnsi="Microsoft YaHei" w:hint="eastAsia"/>
          <w:b w:val="0"/>
          <w:bCs w:val="0"/>
          <w:i w:val="0"/>
          <w:iCs w:val="0"/>
          <w:caps w:val="0"/>
          <w:smallCaps w:val="0"/>
          <w:vanish w:val="0"/>
          <w:color w:val="333333"/>
          <w:spacing w:val="0"/>
          <w:sz w:val="32"/>
          <w:szCs w:val="32"/>
          <w:vertAlign w:val="baseline"/>
        </w:rPr>
        <w:t> </w:t>
      </w:r>
    </w:p>
    <w:p>
      <w:pPr>
        <w:pStyle w:val="93"/>
        <w:pBdr>
          <w:top w:val="none" w:sz="0" w:space="0" w:color="auto"/>
          <w:left w:val="none" w:sz="0" w:space="0" w:color="auto"/>
          <w:bottom w:val="none" w:sz="0" w:space="0" w:color="auto"/>
          <w:right w:val="none" w:sz="0" w:space="0" w:color="auto"/>
        </w:pBdr>
        <w:spacing w:before="0" w:beforeAutospacing="0" w:after="0" w:afterAutospacing="0" w:line="600" w:lineRule="exact"/>
        <w:ind w:left="0" w:firstLine="0"/>
        <w:textAlignment w:val="baseline"/>
        <w:rPr>
          <w:rFonts w:ascii="仿宋" w:eastAsia="仿宋" w:hint="eastAsia"/>
          <w:color w:val="333333"/>
          <w:sz w:val="32"/>
          <w:szCs w:val="32"/>
        </w:rPr>
      </w:pPr>
      <w:r>
        <w:rPr>
          <w:rStyle w:val="86"/>
          <w:rFonts w:ascii="仿宋" w:eastAsia="仿宋" w:hint="eastAsia"/>
          <w:b w:val="0"/>
          <w:bCs w:val="0"/>
          <w:i w:val="0"/>
          <w:iCs w:val="0"/>
          <w:caps w:val="0"/>
          <w:smallCaps w:val="0"/>
          <w:strike w:val="0"/>
          <w:dstrike w:val="0"/>
          <w:vanish w:val="0"/>
          <w:color w:val="000000"/>
          <w:spacing w:val="0"/>
          <w:sz w:val="32"/>
          <w:szCs w:val="32"/>
          <w:u w:val="none"/>
          <w:bdr w:val="none" w:sz="0" w:space="0" w:color="auto"/>
          <w:shd w:val="clear" w:color="auto" w:fill="auto"/>
          <w:vertAlign w:val="baseline"/>
        </w:rPr>
        <w:fldChar w:fldCharType="begin"/>
      </w:r>
      <w:r>
        <w:instrText>HYPERLINK "http://zfcxjst.hlj.gov.cn/static/video/9849112.docx"</w:instrText>
      </w:r>
      <w:r>
        <w:rPr>
          <w:rStyle w:val="86"/>
          <w:rFonts w:ascii="仿宋" w:eastAsia="仿宋" w:hint="eastAsia"/>
          <w:b w:val="0"/>
          <w:bCs w:val="0"/>
          <w:i w:val="0"/>
          <w:iCs w:val="0"/>
          <w:caps w:val="0"/>
          <w:smallCaps w:val="0"/>
          <w:strike w:val="0"/>
          <w:dstrike w:val="0"/>
          <w:vanish w:val="0"/>
          <w:color w:val="000000"/>
          <w:spacing w:val="0"/>
          <w:sz w:val="32"/>
          <w:szCs w:val="32"/>
          <w:u w:val="none"/>
          <w:bdr w:val="none" w:sz="0" w:space="0" w:color="auto"/>
          <w:shd w:val="clear" w:color="auto" w:fill="auto"/>
          <w:vertAlign w:val="baseline"/>
        </w:rPr>
        <w:fldChar w:fldCharType="separate"/>
      </w:r>
      <w:r>
        <w:rPr>
          <w:rStyle w:val="86"/>
          <w:rFonts w:ascii="仿宋" w:eastAsia="仿宋" w:hint="eastAsia"/>
          <w:b w:val="0"/>
          <w:bCs w:val="0"/>
          <w:i w:val="0"/>
          <w:iCs w:val="0"/>
          <w:caps w:val="0"/>
          <w:smallCaps w:val="0"/>
          <w:strike w:val="0"/>
          <w:dstrike w:val="0"/>
          <w:vanish w:val="0"/>
          <w:color w:val="000000"/>
          <w:spacing w:val="0"/>
          <w:sz w:val="32"/>
          <w:szCs w:val="32"/>
          <w:u w:val="none"/>
          <w:bdr w:val="none" w:sz="0" w:space="0" w:color="auto"/>
          <w:shd w:val="clear" w:color="auto" w:fill="auto"/>
          <w:vertAlign w:val="baseline"/>
        </w:rPr>
        <w:t>附件3-国务院决定在自由贸易试验区暂时调整适用行政法规有关规定目录.docx</w:t>
      </w:r>
      <w:r>
        <w:rPr>
          <w:rStyle w:val="86"/>
          <w:rFonts w:ascii="仿宋" w:eastAsia="仿宋" w:hint="eastAsia"/>
          <w:b w:val="0"/>
          <w:bCs w:val="0"/>
          <w:i w:val="0"/>
          <w:iCs w:val="0"/>
          <w:caps w:val="0"/>
          <w:smallCaps w:val="0"/>
          <w:strike w:val="0"/>
          <w:dstrike w:val="0"/>
          <w:vanish w:val="0"/>
          <w:color w:val="000000"/>
          <w:spacing w:val="0"/>
          <w:sz w:val="32"/>
          <w:szCs w:val="32"/>
          <w:u w:val="none"/>
          <w:bdr w:val="none" w:sz="0" w:space="0" w:color="auto"/>
          <w:shd w:val="clear" w:color="auto" w:fill="auto"/>
          <w:vertAlign w:val="baseline"/>
        </w:rPr>
        <w:fldChar w:fldCharType="end"/>
      </w:r>
    </w:p>
    <w:sectPr>
      <w:pgSz w:w="11907" w:h="16839"/>
      <w:pgMar w:top="1440" w:right="1800" w:bottom="1440" w:left="1800" w:header="851" w:footer="992" w:gutter="0"/>
      <w:docGrid w:type="lines" w:linePitch="435"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auto"/>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Microsoft YaHei">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仿宋_GB2312">
    <w:panose1 w:val="02010609030101010101"/>
    <w:charset w:val="86"/>
    <w:family w:val="auto"/>
    <w:pitch w:val="variable"/>
    <w:sig w:usb0="00000001" w:usb1="080E0000" w:usb2="00000000" w:usb3="00000000" w:csb0="00040000" w:csb1="00000000"/>
  </w:font>
  <w:font w:name="方正小标宋_GBK">
    <w:panose1 w:val="02000000000000000000"/>
    <w:charset w:val="86"/>
    <w:family w:val="script"/>
    <w:pitch w:val="variable"/>
    <w:sig w:usb0="00000001" w:usb1="0800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60"/>
  <w:drawingGridVerticalSpacing w:val="217"/>
  <w:displayHorizontalDrawingGridEvery w:val="0"/>
  <w:displayVerticalDrawingGridEvery w:val="1"/>
  <w:characterSpacingControl w:val="compressPunctuation"/>
  <w:noLineBreaksAfter w:lang="zh-CN" w:val="([{·‘“〈《「『【〔〖（．［｛￡￥"/>
  <w:noLineBreaksBefore w:lang="zh-CN" w:val="!%),.:;?]}¨·ˇˉ་―‖’”…‰∶、。〃々〉》」』】〕〗！＂＇％），．：；？］｀｜｝～￠"/>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600" w:lineRule="exact"/>
      <w:ind w:firstLineChars="200" w:firstLine="200"/>
      <w:jc w:val="both"/>
    </w:pPr>
    <w:rPr>
      <w:rFonts w:ascii="Times New Roman" w:eastAsia="仿宋_GB2312" w:cs="仿宋_GB2312" w:hAnsi="Times New Roman"/>
      <w:kern w:val="2"/>
      <w:sz w:val="32"/>
      <w:szCs w:val="32"/>
      <w:lang w:val="en-US" w:eastAsia="zh-CN" w:bidi="ar-SA"/>
    </w:rPr>
  </w:style>
  <w:style w:type="paragraph" w:styleId="1">
    <w:name w:val="heading 1"/>
    <w:basedOn w:val="0"/>
    <w:next w:val="0"/>
    <w:pPr>
      <w:keepNext/>
      <w:keepLines/>
      <w:widowControl w:val="0"/>
      <w:spacing w:before="340" w:after="330" w:line="600" w:lineRule="exact"/>
      <w:ind w:firstLineChars="0" w:firstLine="0"/>
      <w:jc w:val="center"/>
      <w:outlineLvl w:val="0"/>
    </w:pPr>
    <w:rPr>
      <w:rFonts w:eastAsia="方正小标宋_GBK"/>
      <w:b/>
      <w:bCs/>
      <w:kern w:val="44"/>
      <w:sz w:val="44"/>
    </w:rPr>
  </w:style>
  <w:style w:type="paragraph" w:styleId="2">
    <w:name w:val="heading 2"/>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1"/>
    </w:pPr>
    <w:rPr>
      <w:rFonts w:ascii="宋体" w:eastAsia="宋体"/>
      <w:b/>
      <w:i w:val="0"/>
      <w:caps w:val="0"/>
      <w:smallCaps w:val="0"/>
      <w:strike w:val="0"/>
      <w:dstrike w:val="0"/>
      <w:snapToGrid/>
      <w:vanish w:val="0"/>
      <w:color w:val="auto"/>
      <w:spacing w:val="0"/>
      <w:w w:val="100"/>
      <w:kern w:val="0"/>
      <w:position w:val="0"/>
      <w:sz w:val="36"/>
      <w:szCs w:val="21"/>
      <w:u w:val="none" w:color="auto"/>
      <w:vertAlign w:val="baseline"/>
      <w:em w:val="none"/>
      <w:lang w:val="en-US" w:eastAsia="zh-CN"/>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customStyle="1" w:styleId="15">
    <w:name w:val="样式1"/>
    <w:basedOn w:val="0"/>
    <w:pPr>
      <w:spacing w:line="600" w:lineRule="exact"/>
      <w:ind w:firstLineChars="200" w:firstLine="200"/>
    </w:pPr>
    <w:rPr>
      <w:rFonts w:eastAsia="仿宋_GB2312"/>
      <w:sz w:val="32"/>
    </w:rPr>
  </w:style>
  <w:style w:type="character" w:styleId="86">
    <w:name w:val="Hyperlink"/>
    <w:rPr>
      <w:color w:val="0000FF"/>
      <w:u w:val="single"/>
    </w:rPr>
  </w:style>
  <w:style w:type="character" w:styleId="88">
    <w:name w:val="Strong"/>
    <w:rPr>
      <w:b/>
    </w:rPr>
  </w:style>
  <w:style w:type="paragraph" w:styleId="93">
    <w:name w:val="Normal (Web)"/>
    <w:next w:val="92"/>
    <w:pPr>
      <w:widowControl w:val="0"/>
      <w:spacing w:before="100" w:beforeAutospacing="1" w:after="100" w:afterAutospacing="1" w:line="240" w:lineRule="auto"/>
      <w:jc w:val="left"/>
    </w:pPr>
    <w:rPr>
      <w:rFonts w:ascii="宋体" w:eastAsia="宋体"/>
      <w:kern w:val="2"/>
      <w:sz w:val="24"/>
      <w:szCs w:val="21"/>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40</TotalTime>
  <Application>Yozo_Office27021597764231179</Application>
  <Pages>11</Pages>
  <Words>5195</Words>
  <Characters>5262</Characters>
  <Lines>241</Lines>
  <Paragraphs>40</Paragraphs>
  <CharactersWithSpaces>5448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wanerbenben</dc:creator>
  <cp:lastModifiedBy>zjt</cp:lastModifiedBy>
  <cp:revision>1</cp:revision>
  <dcterms:created xsi:type="dcterms:W3CDTF">2022-03-24T05:52:47Z</dcterms:created>
  <dcterms:modified xsi:type="dcterms:W3CDTF">2022-03-25T06:28:37Z</dcterms:modified>
</cp:coreProperties>
</file>